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85CE2" w14:textId="77777777" w:rsidR="00BA1862" w:rsidRPr="007270DE" w:rsidRDefault="00BA1862" w:rsidP="00BA1862">
      <w:pPr>
        <w:pStyle w:val="ListParagraph"/>
        <w:rPr>
          <w:rFonts w:cstheme="minorHAnsi"/>
          <w:sz w:val="24"/>
          <w:szCs w:val="24"/>
        </w:rPr>
      </w:pPr>
      <w:bookmarkStart w:id="0" w:name="_Toc372808338"/>
      <w:r w:rsidRPr="0045082F">
        <w:rPr>
          <w:rFonts w:ascii="Times New Roman" w:hAnsi="Times New Roman" w:cs="Times New Roman"/>
          <w:b/>
          <w:bCs/>
          <w:sz w:val="24"/>
          <w:szCs w:val="24"/>
        </w:rPr>
        <w:t xml:space="preserve">Duomenų </w:t>
      </w:r>
      <w:r>
        <w:rPr>
          <w:rFonts w:ascii="Times New Roman" w:hAnsi="Times New Roman" w:cs="Times New Roman"/>
          <w:b/>
          <w:bCs/>
          <w:sz w:val="24"/>
          <w:szCs w:val="24"/>
        </w:rPr>
        <w:t xml:space="preserve">archyvavimo, </w:t>
      </w:r>
      <w:r w:rsidRPr="0045082F">
        <w:rPr>
          <w:rFonts w:ascii="Times New Roman" w:hAnsi="Times New Roman" w:cs="Times New Roman"/>
          <w:b/>
          <w:bCs/>
          <w:sz w:val="24"/>
          <w:szCs w:val="24"/>
        </w:rPr>
        <w:t>automatizavimo ir valdymo sistema</w:t>
      </w:r>
      <w:bookmarkEnd w:id="0"/>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9"/>
        <w:gridCol w:w="1851"/>
        <w:gridCol w:w="6268"/>
        <w:gridCol w:w="1974"/>
      </w:tblGrid>
      <w:tr w:rsidR="00BA1862" w:rsidRPr="00C95F20" w14:paraId="28E5FA13" w14:textId="77777777" w:rsidTr="00916D87">
        <w:trPr>
          <w:trHeight w:val="340"/>
        </w:trPr>
        <w:tc>
          <w:tcPr>
            <w:tcW w:w="311" w:type="pct"/>
            <w:shd w:val="clear" w:color="auto" w:fill="D9D9D9"/>
            <w:tcMar>
              <w:top w:w="28" w:type="dxa"/>
              <w:left w:w="108" w:type="dxa"/>
              <w:bottom w:w="57" w:type="dxa"/>
              <w:right w:w="108" w:type="dxa"/>
            </w:tcMar>
            <w:vAlign w:val="center"/>
          </w:tcPr>
          <w:p w14:paraId="72801C72"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b/>
                <w:sz w:val="24"/>
                <w:szCs w:val="24"/>
              </w:rPr>
            </w:pPr>
            <w:r w:rsidRPr="00F662F8">
              <w:rPr>
                <w:rFonts w:eastAsia="Times New Roman" w:cstheme="minorHAnsi"/>
                <w:b/>
                <w:sz w:val="24"/>
                <w:szCs w:val="24"/>
              </w:rPr>
              <w:t>Eil. Nr.</w:t>
            </w:r>
          </w:p>
        </w:tc>
        <w:tc>
          <w:tcPr>
            <w:tcW w:w="860" w:type="pct"/>
            <w:shd w:val="clear" w:color="auto" w:fill="D9D9D9"/>
            <w:tcMar>
              <w:top w:w="28" w:type="dxa"/>
              <w:left w:w="108" w:type="dxa"/>
              <w:bottom w:w="57" w:type="dxa"/>
              <w:right w:w="108" w:type="dxa"/>
            </w:tcMar>
            <w:vAlign w:val="center"/>
          </w:tcPr>
          <w:p w14:paraId="37D03328" w14:textId="77777777" w:rsidR="00BA1862" w:rsidRPr="00F662F8" w:rsidRDefault="00BA1862" w:rsidP="00916D87">
            <w:pPr>
              <w:pBdr>
                <w:top w:val="nil"/>
                <w:left w:val="nil"/>
                <w:bottom w:val="nil"/>
                <w:right w:val="nil"/>
                <w:between w:val="nil"/>
              </w:pBdr>
              <w:spacing w:after="0" w:line="240" w:lineRule="auto"/>
              <w:jc w:val="center"/>
              <w:rPr>
                <w:rFonts w:eastAsia="Times New Roman" w:cstheme="minorHAnsi"/>
                <w:b/>
                <w:i/>
                <w:sz w:val="24"/>
                <w:szCs w:val="24"/>
              </w:rPr>
            </w:pPr>
            <w:r w:rsidRPr="00F662F8">
              <w:rPr>
                <w:rFonts w:eastAsia="Times New Roman" w:cstheme="minorHAnsi"/>
                <w:b/>
                <w:sz w:val="24"/>
                <w:szCs w:val="24"/>
              </w:rPr>
              <w:t>Komponento charakteristikos</w:t>
            </w:r>
          </w:p>
          <w:p w14:paraId="4947552E" w14:textId="77777777" w:rsidR="00BA1862" w:rsidRPr="00F662F8" w:rsidRDefault="00BA1862" w:rsidP="00916D87">
            <w:pPr>
              <w:pBdr>
                <w:top w:val="nil"/>
                <w:left w:val="nil"/>
                <w:bottom w:val="nil"/>
                <w:right w:val="nil"/>
                <w:between w:val="nil"/>
              </w:pBdr>
              <w:spacing w:after="0" w:line="240" w:lineRule="auto"/>
              <w:jc w:val="center"/>
              <w:rPr>
                <w:rFonts w:eastAsia="Times New Roman" w:cstheme="minorHAnsi"/>
                <w:b/>
                <w:i/>
                <w:sz w:val="24"/>
                <w:szCs w:val="24"/>
              </w:rPr>
            </w:pPr>
            <w:r w:rsidRPr="00F662F8">
              <w:rPr>
                <w:rFonts w:eastAsia="Times New Roman" w:cstheme="minorHAnsi"/>
                <w:b/>
                <w:sz w:val="24"/>
                <w:szCs w:val="24"/>
              </w:rPr>
              <w:t>pavadinimas</w:t>
            </w:r>
          </w:p>
        </w:tc>
        <w:tc>
          <w:tcPr>
            <w:tcW w:w="2912" w:type="pct"/>
            <w:shd w:val="clear" w:color="auto" w:fill="D9D9D9"/>
            <w:tcMar>
              <w:top w:w="28" w:type="dxa"/>
              <w:left w:w="108" w:type="dxa"/>
              <w:bottom w:w="57" w:type="dxa"/>
              <w:right w:w="108" w:type="dxa"/>
            </w:tcMar>
            <w:vAlign w:val="center"/>
          </w:tcPr>
          <w:p w14:paraId="509BA2C5" w14:textId="77777777" w:rsidR="00BA1862" w:rsidRPr="00F662F8" w:rsidRDefault="00BA1862" w:rsidP="00916D87">
            <w:pPr>
              <w:pBdr>
                <w:top w:val="nil"/>
                <w:left w:val="nil"/>
                <w:bottom w:val="nil"/>
                <w:right w:val="nil"/>
                <w:between w:val="nil"/>
              </w:pBdr>
              <w:spacing w:after="0" w:line="240" w:lineRule="auto"/>
              <w:jc w:val="center"/>
              <w:rPr>
                <w:rFonts w:eastAsia="Times New Roman" w:cstheme="minorHAnsi"/>
                <w:b/>
                <w:i/>
                <w:sz w:val="24"/>
                <w:szCs w:val="24"/>
              </w:rPr>
            </w:pPr>
            <w:r w:rsidRPr="00F662F8">
              <w:rPr>
                <w:rFonts w:eastAsia="Times New Roman" w:cstheme="minorHAnsi"/>
                <w:b/>
                <w:sz w:val="24"/>
                <w:szCs w:val="24"/>
              </w:rPr>
              <w:t>Reikalaujama charakteristika</w:t>
            </w:r>
          </w:p>
        </w:tc>
        <w:tc>
          <w:tcPr>
            <w:tcW w:w="917" w:type="pct"/>
            <w:shd w:val="clear" w:color="auto" w:fill="D9D9D9"/>
          </w:tcPr>
          <w:p w14:paraId="7DC05054" w14:textId="77777777" w:rsidR="00BA1862" w:rsidRDefault="00BA1862" w:rsidP="00916D87">
            <w:pPr>
              <w:pBdr>
                <w:top w:val="nil"/>
                <w:left w:val="nil"/>
                <w:bottom w:val="nil"/>
                <w:right w:val="nil"/>
                <w:between w:val="nil"/>
              </w:pBdr>
              <w:spacing w:after="0" w:line="240" w:lineRule="auto"/>
              <w:jc w:val="center"/>
              <w:rPr>
                <w:rFonts w:eastAsia="Times New Roman" w:cstheme="minorHAnsi"/>
                <w:b/>
                <w:sz w:val="24"/>
                <w:szCs w:val="24"/>
              </w:rPr>
            </w:pPr>
          </w:p>
          <w:p w14:paraId="55D6B4E1" w14:textId="77777777" w:rsidR="00BA1862" w:rsidRPr="00C95F20" w:rsidRDefault="00BA1862" w:rsidP="00916D87">
            <w:pPr>
              <w:pBdr>
                <w:top w:val="nil"/>
                <w:left w:val="nil"/>
                <w:bottom w:val="nil"/>
                <w:right w:val="nil"/>
                <w:between w:val="nil"/>
              </w:pBdr>
              <w:spacing w:after="0" w:line="240" w:lineRule="auto"/>
              <w:jc w:val="center"/>
              <w:rPr>
                <w:rFonts w:eastAsia="Times New Roman" w:cstheme="minorHAnsi"/>
                <w:b/>
                <w:sz w:val="24"/>
                <w:szCs w:val="24"/>
                <w:lang w:val="en-US"/>
              </w:rPr>
            </w:pPr>
            <w:r>
              <w:rPr>
                <w:rFonts w:eastAsia="Times New Roman" w:cstheme="minorHAnsi"/>
                <w:b/>
                <w:sz w:val="24"/>
                <w:szCs w:val="24"/>
              </w:rPr>
              <w:t>Pildo tiekėjas</w:t>
            </w:r>
          </w:p>
        </w:tc>
      </w:tr>
      <w:tr w:rsidR="00BA1862" w:rsidRPr="00F662F8" w14:paraId="7CC61EE9" w14:textId="77777777" w:rsidTr="00916D87">
        <w:tc>
          <w:tcPr>
            <w:tcW w:w="311" w:type="pct"/>
            <w:tcMar>
              <w:top w:w="28" w:type="dxa"/>
              <w:left w:w="108" w:type="dxa"/>
              <w:bottom w:w="57" w:type="dxa"/>
              <w:right w:w="108" w:type="dxa"/>
            </w:tcMar>
          </w:tcPr>
          <w:p w14:paraId="19B778AE"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tc>
        <w:tc>
          <w:tcPr>
            <w:tcW w:w="860" w:type="pct"/>
            <w:tcMar>
              <w:top w:w="28" w:type="dxa"/>
              <w:left w:w="108" w:type="dxa"/>
              <w:bottom w:w="57" w:type="dxa"/>
              <w:right w:w="108" w:type="dxa"/>
            </w:tcMar>
          </w:tcPr>
          <w:p w14:paraId="2E9D7385"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Pr>
                <w:rFonts w:eastAsia="Times New Roman" w:cstheme="minorHAnsi"/>
                <w:sz w:val="24"/>
                <w:szCs w:val="24"/>
              </w:rPr>
              <w:t xml:space="preserve">Sistemos </w:t>
            </w:r>
            <w:r w:rsidRPr="00F662F8">
              <w:rPr>
                <w:rFonts w:eastAsia="Times New Roman" w:cstheme="minorHAnsi"/>
                <w:sz w:val="24"/>
                <w:szCs w:val="24"/>
              </w:rPr>
              <w:t>tipas ir paskirtis</w:t>
            </w:r>
          </w:p>
        </w:tc>
        <w:tc>
          <w:tcPr>
            <w:tcW w:w="2912" w:type="pct"/>
            <w:tcMar>
              <w:top w:w="28" w:type="dxa"/>
              <w:left w:w="108" w:type="dxa"/>
              <w:bottom w:w="57" w:type="dxa"/>
              <w:right w:w="108" w:type="dxa"/>
            </w:tcMar>
          </w:tcPr>
          <w:p w14:paraId="696573A8" w14:textId="77777777" w:rsidR="00BA1862" w:rsidRPr="006A7B4E"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6A7B4E">
              <w:rPr>
                <w:rFonts w:eastAsia="Times New Roman" w:cstheme="minorHAnsi"/>
                <w:sz w:val="24"/>
                <w:szCs w:val="24"/>
              </w:rPr>
              <w:t>Integruotas aparatinis ir programinis sprendimas dubliuoti ir saugoti esamas atsargines kopijas diskinėje saugykloje, skirtas tik rezervinio kopijavimo poreikiams ir gamintojo viešame puslapyje įvardintas kaip toks;</w:t>
            </w:r>
          </w:p>
          <w:p w14:paraId="7412D2AA" w14:textId="77777777" w:rsidR="00BA1862" w:rsidRPr="006A7B4E"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6A7B4E">
              <w:rPr>
                <w:rFonts w:eastAsia="Times New Roman" w:cstheme="minorHAnsi"/>
                <w:sz w:val="24"/>
                <w:szCs w:val="24"/>
              </w:rPr>
              <w:t xml:space="preserve">sistema turi būti suderinama su </w:t>
            </w:r>
            <w:r>
              <w:rPr>
                <w:rFonts w:eastAsia="Times New Roman" w:cstheme="minorHAnsi"/>
                <w:sz w:val="24"/>
                <w:szCs w:val="24"/>
              </w:rPr>
              <w:t xml:space="preserve">naudojama DDOS </w:t>
            </w:r>
            <w:r w:rsidRPr="006A7B4E">
              <w:rPr>
                <w:rFonts w:eastAsia="Times New Roman" w:cstheme="minorHAnsi"/>
                <w:sz w:val="24"/>
                <w:szCs w:val="24"/>
              </w:rPr>
              <w:t xml:space="preserve"> </w:t>
            </w:r>
            <w:r>
              <w:rPr>
                <w:rFonts w:eastAsia="Times New Roman" w:cstheme="minorHAnsi"/>
                <w:sz w:val="24"/>
                <w:szCs w:val="24"/>
              </w:rPr>
              <w:t>operacine sistema</w:t>
            </w:r>
            <w:r w:rsidRPr="006A7B4E">
              <w:rPr>
                <w:rFonts w:eastAsia="Times New Roman" w:cstheme="minorHAnsi"/>
                <w:sz w:val="24"/>
                <w:szCs w:val="24"/>
              </w:rPr>
              <w:t>;</w:t>
            </w:r>
          </w:p>
          <w:p w14:paraId="1128AD69" w14:textId="77777777" w:rsidR="00BA1862" w:rsidRPr="006A7B4E"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6A7B4E">
              <w:rPr>
                <w:rFonts w:eastAsia="Times New Roman" w:cstheme="minorHAnsi"/>
                <w:sz w:val="24"/>
                <w:szCs w:val="24"/>
              </w:rPr>
              <w:t>sistema turi būti atspari kibernetinėms atakoms (angl. cyber recovery);</w:t>
            </w:r>
          </w:p>
          <w:p w14:paraId="60914D1D" w14:textId="77777777" w:rsidR="00BA1862" w:rsidRPr="006A7B4E"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6A7B4E">
              <w:rPr>
                <w:rFonts w:eastAsia="Times New Roman" w:cstheme="minorHAnsi"/>
                <w:sz w:val="24"/>
                <w:szCs w:val="24"/>
              </w:rPr>
              <w:t>sistema turi veikti atskirta oro tarpu (angl. air-gap) nuo veikiančios rezervinio kopijavimo sistemos.</w:t>
            </w:r>
          </w:p>
          <w:p w14:paraId="414845AD" w14:textId="53297A9C" w:rsidR="00BA1862"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6A7B4E">
              <w:rPr>
                <w:rFonts w:eastAsia="Times New Roman" w:cstheme="minorHAnsi"/>
                <w:sz w:val="24"/>
                <w:szCs w:val="24"/>
              </w:rPr>
              <w:t>sistema turi užtikrinti vienos krypties rezervinių kopijų replikaciją į „duomenų bunkerį“</w:t>
            </w:r>
            <w:r>
              <w:rPr>
                <w:rFonts w:eastAsia="Times New Roman" w:cstheme="minorHAnsi"/>
                <w:sz w:val="24"/>
                <w:szCs w:val="24"/>
              </w:rPr>
              <w:t>,</w:t>
            </w:r>
            <w:r w:rsidRPr="006A7B4E">
              <w:rPr>
                <w:rFonts w:eastAsia="Times New Roman" w:cstheme="minorHAnsi"/>
                <w:sz w:val="24"/>
                <w:szCs w:val="24"/>
              </w:rPr>
              <w:t xml:space="preserve"> (angl. cyber bunker) panaudojant integraciją su </w:t>
            </w:r>
            <w:r>
              <w:rPr>
                <w:rFonts w:eastAsia="Times New Roman" w:cstheme="minorHAnsi"/>
                <w:sz w:val="24"/>
                <w:szCs w:val="24"/>
              </w:rPr>
              <w:t xml:space="preserve">turime </w:t>
            </w:r>
            <w:r w:rsidRPr="006A7B4E">
              <w:rPr>
                <w:rFonts w:eastAsia="Times New Roman" w:cstheme="minorHAnsi"/>
                <w:sz w:val="24"/>
                <w:szCs w:val="24"/>
              </w:rPr>
              <w:t>rezervinio kopijavimo  aparatine</w:t>
            </w:r>
            <w:r>
              <w:rPr>
                <w:rFonts w:eastAsia="Times New Roman" w:cstheme="minorHAnsi"/>
                <w:sz w:val="24"/>
                <w:szCs w:val="24"/>
              </w:rPr>
              <w:t xml:space="preserve"> </w:t>
            </w:r>
            <w:r w:rsidRPr="006A7B4E">
              <w:rPr>
                <w:rFonts w:eastAsia="Times New Roman" w:cstheme="minorHAnsi"/>
                <w:sz w:val="24"/>
                <w:szCs w:val="24"/>
              </w:rPr>
              <w:t>įranga bei galimybę atstatyti duomenis kiber</w:t>
            </w:r>
            <w:r w:rsidR="004B7CF6">
              <w:rPr>
                <w:rFonts w:eastAsia="Times New Roman" w:cstheme="minorHAnsi"/>
                <w:sz w:val="24"/>
                <w:szCs w:val="24"/>
              </w:rPr>
              <w:t xml:space="preserve">netinio </w:t>
            </w:r>
            <w:r w:rsidRPr="006A7B4E">
              <w:rPr>
                <w:rFonts w:eastAsia="Times New Roman" w:cstheme="minorHAnsi"/>
                <w:sz w:val="24"/>
                <w:szCs w:val="24"/>
              </w:rPr>
              <w:t>incidento atveju</w:t>
            </w:r>
            <w:r>
              <w:rPr>
                <w:rFonts w:eastAsia="Times New Roman" w:cstheme="minorHAnsi"/>
                <w:sz w:val="24"/>
                <w:szCs w:val="24"/>
              </w:rPr>
              <w:t>.</w:t>
            </w:r>
          </w:p>
          <w:p w14:paraId="0CA5C628" w14:textId="77777777" w:rsidR="00BA1862" w:rsidRDefault="00BA1862" w:rsidP="00916D87">
            <w:pPr>
              <w:pBdr>
                <w:top w:val="nil"/>
                <w:left w:val="nil"/>
                <w:bottom w:val="nil"/>
                <w:right w:val="nil"/>
                <w:between w:val="nil"/>
              </w:pBdr>
              <w:spacing w:after="0" w:line="240" w:lineRule="auto"/>
              <w:jc w:val="both"/>
              <w:rPr>
                <w:rFonts w:eastAsia="Times New Roman" w:cstheme="minorHAnsi"/>
                <w:sz w:val="24"/>
                <w:szCs w:val="24"/>
              </w:rPr>
            </w:pPr>
            <w:r>
              <w:rPr>
                <w:rFonts w:eastAsia="Times New Roman" w:cstheme="minorHAnsi"/>
                <w:sz w:val="24"/>
                <w:szCs w:val="24"/>
              </w:rPr>
              <w:t>Sistema turi turėti ne mažiau kaip šiuos komponentus:</w:t>
            </w:r>
          </w:p>
          <w:p w14:paraId="4EAFAADF" w14:textId="77777777" w:rsidR="00BA1862"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C00036">
              <w:rPr>
                <w:rFonts w:eastAsia="Times New Roman" w:cstheme="minorHAnsi"/>
                <w:sz w:val="24"/>
                <w:szCs w:val="24"/>
              </w:rPr>
              <w:t>Rezervinių kopijų saugojimui skirtas įrenginys</w:t>
            </w:r>
          </w:p>
          <w:p w14:paraId="283AA298" w14:textId="77777777" w:rsidR="00BA1862" w:rsidRDefault="00BA1862" w:rsidP="00916D87">
            <w:pPr>
              <w:pBdr>
                <w:top w:val="nil"/>
                <w:left w:val="nil"/>
                <w:bottom w:val="nil"/>
                <w:right w:val="nil"/>
                <w:between w:val="nil"/>
              </w:pBdr>
              <w:spacing w:after="0" w:line="240" w:lineRule="auto"/>
              <w:jc w:val="both"/>
              <w:rPr>
                <w:rFonts w:eastAsia="Times New Roman" w:cstheme="minorHAnsi"/>
                <w:sz w:val="24"/>
                <w:szCs w:val="24"/>
              </w:rPr>
            </w:pPr>
            <w:r>
              <w:rPr>
                <w:rFonts w:eastAsia="Times New Roman" w:cstheme="minorHAnsi"/>
                <w:sz w:val="24"/>
                <w:szCs w:val="24"/>
              </w:rPr>
              <w:t>Tarnybinė stotis duomenų ir turinio valdymui</w:t>
            </w:r>
          </w:p>
          <w:p w14:paraId="7970BAD5" w14:textId="452C1CDE"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Pr>
                <w:rFonts w:eastAsia="Times New Roman" w:cstheme="minorHAnsi"/>
                <w:sz w:val="24"/>
                <w:szCs w:val="24"/>
              </w:rPr>
              <w:t>Tinklo komutatoriai ir kita būtina tinklo aparatinė įranga</w:t>
            </w:r>
            <w:r w:rsidR="004B7CF6">
              <w:rPr>
                <w:rFonts w:eastAsia="Times New Roman" w:cstheme="minorHAnsi"/>
                <w:sz w:val="24"/>
                <w:szCs w:val="24"/>
              </w:rPr>
              <w:t>.</w:t>
            </w:r>
          </w:p>
        </w:tc>
        <w:tc>
          <w:tcPr>
            <w:tcW w:w="917" w:type="pct"/>
          </w:tcPr>
          <w:p w14:paraId="74BC744A"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tc>
      </w:tr>
    </w:tbl>
    <w:p w14:paraId="579CBD5D" w14:textId="77777777" w:rsidR="00BA1862" w:rsidRDefault="00BA1862" w:rsidP="00BA1862">
      <w:pPr>
        <w:rPr>
          <w:rFonts w:cstheme="minorHAnsi"/>
          <w:sz w:val="24"/>
          <w:szCs w:val="24"/>
        </w:rPr>
      </w:pPr>
    </w:p>
    <w:p w14:paraId="33198834" w14:textId="77777777" w:rsidR="00BA1862" w:rsidRPr="00420245" w:rsidRDefault="00BA1862" w:rsidP="00BA1862">
      <w:pPr>
        <w:rPr>
          <w:rFonts w:cstheme="minorHAnsi"/>
          <w:sz w:val="24"/>
          <w:szCs w:val="24"/>
        </w:rPr>
      </w:pPr>
      <w:r w:rsidRPr="00420245">
        <w:rPr>
          <w:rFonts w:ascii="Times New Roman" w:hAnsi="Times New Roman" w:cs="Times New Roman"/>
          <w:b/>
          <w:bCs/>
          <w:sz w:val="24"/>
          <w:szCs w:val="24"/>
        </w:rPr>
        <w:t xml:space="preserve">Duomenų </w:t>
      </w:r>
      <w:r>
        <w:rPr>
          <w:rFonts w:ascii="Times New Roman" w:hAnsi="Times New Roman" w:cs="Times New Roman"/>
          <w:b/>
          <w:bCs/>
          <w:sz w:val="24"/>
          <w:szCs w:val="24"/>
        </w:rPr>
        <w:t xml:space="preserve">archyvavimo, </w:t>
      </w:r>
      <w:r w:rsidRPr="00420245">
        <w:rPr>
          <w:rFonts w:ascii="Times New Roman" w:hAnsi="Times New Roman" w:cs="Times New Roman"/>
          <w:b/>
          <w:bCs/>
          <w:sz w:val="24"/>
          <w:szCs w:val="24"/>
        </w:rPr>
        <w:t>automatizavimo ir valdymo sistem</w:t>
      </w:r>
      <w:r>
        <w:rPr>
          <w:rFonts w:ascii="Times New Roman" w:hAnsi="Times New Roman" w:cs="Times New Roman"/>
          <w:b/>
          <w:bCs/>
          <w:sz w:val="24"/>
          <w:szCs w:val="24"/>
        </w:rPr>
        <w:t>os komponentai:</w:t>
      </w:r>
    </w:p>
    <w:p w14:paraId="758B108C" w14:textId="77777777" w:rsidR="00BA1862" w:rsidRPr="00420245" w:rsidRDefault="00BA1862" w:rsidP="00BA1862">
      <w:pPr>
        <w:pStyle w:val="ListParagraph"/>
        <w:numPr>
          <w:ilvl w:val="0"/>
          <w:numId w:val="8"/>
        </w:numPr>
        <w:rPr>
          <w:rFonts w:cstheme="minorHAnsi"/>
          <w:sz w:val="24"/>
          <w:szCs w:val="24"/>
        </w:rPr>
      </w:pPr>
      <w:r w:rsidRPr="00420245">
        <w:rPr>
          <w:rFonts w:cstheme="minorHAnsi"/>
          <w:b/>
          <w:bCs/>
          <w:sz w:val="24"/>
          <w:szCs w:val="24"/>
        </w:rPr>
        <w:t>Rezervinių kopijų saugojimui skirtas įrenginys – 1 vnt.</w:t>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9"/>
        <w:gridCol w:w="1851"/>
        <w:gridCol w:w="6268"/>
        <w:gridCol w:w="1974"/>
      </w:tblGrid>
      <w:tr w:rsidR="00BA1862" w:rsidRPr="00F662F8" w14:paraId="7AEC7B19" w14:textId="77777777" w:rsidTr="00916D87">
        <w:trPr>
          <w:trHeight w:val="340"/>
        </w:trPr>
        <w:tc>
          <w:tcPr>
            <w:tcW w:w="311" w:type="pct"/>
            <w:shd w:val="clear" w:color="auto" w:fill="D9D9D9"/>
            <w:tcMar>
              <w:top w:w="28" w:type="dxa"/>
              <w:left w:w="108" w:type="dxa"/>
              <w:bottom w:w="57" w:type="dxa"/>
              <w:right w:w="108" w:type="dxa"/>
            </w:tcMar>
            <w:vAlign w:val="center"/>
          </w:tcPr>
          <w:p w14:paraId="7306CD02"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b/>
                <w:sz w:val="24"/>
                <w:szCs w:val="24"/>
              </w:rPr>
            </w:pPr>
            <w:bookmarkStart w:id="1" w:name="_Hlk215516174"/>
            <w:r w:rsidRPr="00F662F8">
              <w:rPr>
                <w:rFonts w:eastAsia="Times New Roman" w:cstheme="minorHAnsi"/>
                <w:b/>
                <w:sz w:val="24"/>
                <w:szCs w:val="24"/>
              </w:rPr>
              <w:t>Eil. Nr.</w:t>
            </w:r>
          </w:p>
        </w:tc>
        <w:tc>
          <w:tcPr>
            <w:tcW w:w="860" w:type="pct"/>
            <w:shd w:val="clear" w:color="auto" w:fill="D9D9D9"/>
            <w:tcMar>
              <w:top w:w="28" w:type="dxa"/>
              <w:left w:w="108" w:type="dxa"/>
              <w:bottom w:w="57" w:type="dxa"/>
              <w:right w:w="108" w:type="dxa"/>
            </w:tcMar>
            <w:vAlign w:val="center"/>
          </w:tcPr>
          <w:p w14:paraId="66F3B332" w14:textId="77777777" w:rsidR="00BA1862" w:rsidRPr="00F662F8" w:rsidRDefault="00BA1862" w:rsidP="00916D87">
            <w:pPr>
              <w:pBdr>
                <w:top w:val="nil"/>
                <w:left w:val="nil"/>
                <w:bottom w:val="nil"/>
                <w:right w:val="nil"/>
                <w:between w:val="nil"/>
              </w:pBdr>
              <w:spacing w:after="0" w:line="240" w:lineRule="auto"/>
              <w:jc w:val="center"/>
              <w:rPr>
                <w:rFonts w:eastAsia="Times New Roman" w:cstheme="minorHAnsi"/>
                <w:b/>
                <w:i/>
                <w:sz w:val="24"/>
                <w:szCs w:val="24"/>
              </w:rPr>
            </w:pPr>
            <w:r w:rsidRPr="00F662F8">
              <w:rPr>
                <w:rFonts w:eastAsia="Times New Roman" w:cstheme="minorHAnsi"/>
                <w:b/>
                <w:sz w:val="24"/>
                <w:szCs w:val="24"/>
              </w:rPr>
              <w:t>Komponento charakteristikos</w:t>
            </w:r>
          </w:p>
          <w:p w14:paraId="2E2E6D8A" w14:textId="77777777" w:rsidR="00BA1862" w:rsidRPr="00F662F8" w:rsidRDefault="00BA1862" w:rsidP="00916D87">
            <w:pPr>
              <w:pBdr>
                <w:top w:val="nil"/>
                <w:left w:val="nil"/>
                <w:bottom w:val="nil"/>
                <w:right w:val="nil"/>
                <w:between w:val="nil"/>
              </w:pBdr>
              <w:spacing w:after="0" w:line="240" w:lineRule="auto"/>
              <w:jc w:val="center"/>
              <w:rPr>
                <w:rFonts w:eastAsia="Times New Roman" w:cstheme="minorHAnsi"/>
                <w:b/>
                <w:i/>
                <w:sz w:val="24"/>
                <w:szCs w:val="24"/>
              </w:rPr>
            </w:pPr>
            <w:r w:rsidRPr="00F662F8">
              <w:rPr>
                <w:rFonts w:eastAsia="Times New Roman" w:cstheme="minorHAnsi"/>
                <w:b/>
                <w:sz w:val="24"/>
                <w:szCs w:val="24"/>
              </w:rPr>
              <w:t>pavadinimas</w:t>
            </w:r>
          </w:p>
        </w:tc>
        <w:tc>
          <w:tcPr>
            <w:tcW w:w="2912" w:type="pct"/>
            <w:shd w:val="clear" w:color="auto" w:fill="D9D9D9"/>
            <w:tcMar>
              <w:top w:w="28" w:type="dxa"/>
              <w:left w:w="108" w:type="dxa"/>
              <w:bottom w:w="57" w:type="dxa"/>
              <w:right w:w="108" w:type="dxa"/>
            </w:tcMar>
            <w:vAlign w:val="center"/>
          </w:tcPr>
          <w:p w14:paraId="462D21F2" w14:textId="77777777" w:rsidR="00BA1862" w:rsidRPr="00F662F8" w:rsidRDefault="00BA1862" w:rsidP="00916D87">
            <w:pPr>
              <w:pBdr>
                <w:top w:val="nil"/>
                <w:left w:val="nil"/>
                <w:bottom w:val="nil"/>
                <w:right w:val="nil"/>
                <w:between w:val="nil"/>
              </w:pBdr>
              <w:spacing w:after="0" w:line="240" w:lineRule="auto"/>
              <w:jc w:val="center"/>
              <w:rPr>
                <w:rFonts w:eastAsia="Times New Roman" w:cstheme="minorHAnsi"/>
                <w:b/>
                <w:i/>
                <w:sz w:val="24"/>
                <w:szCs w:val="24"/>
              </w:rPr>
            </w:pPr>
            <w:r w:rsidRPr="00F662F8">
              <w:rPr>
                <w:rFonts w:eastAsia="Times New Roman" w:cstheme="minorHAnsi"/>
                <w:b/>
                <w:sz w:val="24"/>
                <w:szCs w:val="24"/>
              </w:rPr>
              <w:t>Reikalaujama charakteristika</w:t>
            </w:r>
          </w:p>
        </w:tc>
        <w:tc>
          <w:tcPr>
            <w:tcW w:w="917" w:type="pct"/>
            <w:shd w:val="clear" w:color="auto" w:fill="D9D9D9"/>
          </w:tcPr>
          <w:p w14:paraId="4C7C2072" w14:textId="77777777" w:rsidR="00BA1862" w:rsidRDefault="00BA1862" w:rsidP="00916D87">
            <w:pPr>
              <w:pBdr>
                <w:top w:val="nil"/>
                <w:left w:val="nil"/>
                <w:bottom w:val="nil"/>
                <w:right w:val="nil"/>
                <w:between w:val="nil"/>
              </w:pBdr>
              <w:spacing w:after="0" w:line="240" w:lineRule="auto"/>
              <w:jc w:val="center"/>
              <w:rPr>
                <w:rFonts w:eastAsia="Times New Roman" w:cstheme="minorHAnsi"/>
                <w:b/>
                <w:sz w:val="24"/>
                <w:szCs w:val="24"/>
              </w:rPr>
            </w:pPr>
          </w:p>
          <w:p w14:paraId="50F5A5F5" w14:textId="77777777" w:rsidR="00BA1862" w:rsidRPr="00C95F20" w:rsidRDefault="00BA1862" w:rsidP="00916D87">
            <w:pPr>
              <w:pBdr>
                <w:top w:val="nil"/>
                <w:left w:val="nil"/>
                <w:bottom w:val="nil"/>
                <w:right w:val="nil"/>
                <w:between w:val="nil"/>
              </w:pBdr>
              <w:spacing w:after="0" w:line="240" w:lineRule="auto"/>
              <w:jc w:val="center"/>
              <w:rPr>
                <w:rFonts w:eastAsia="Times New Roman" w:cstheme="minorHAnsi"/>
                <w:b/>
                <w:sz w:val="24"/>
                <w:szCs w:val="24"/>
                <w:lang w:val="en-US"/>
              </w:rPr>
            </w:pPr>
            <w:r>
              <w:rPr>
                <w:rFonts w:eastAsia="Times New Roman" w:cstheme="minorHAnsi"/>
                <w:b/>
                <w:sz w:val="24"/>
                <w:szCs w:val="24"/>
              </w:rPr>
              <w:t>Pildo tiekėjas</w:t>
            </w:r>
          </w:p>
        </w:tc>
      </w:tr>
      <w:bookmarkEnd w:id="1"/>
      <w:tr w:rsidR="00BA1862" w:rsidRPr="00F662F8" w14:paraId="7E874477" w14:textId="77777777" w:rsidTr="00916D87">
        <w:tc>
          <w:tcPr>
            <w:tcW w:w="311" w:type="pct"/>
            <w:tcMar>
              <w:top w:w="28" w:type="dxa"/>
              <w:left w:w="108" w:type="dxa"/>
              <w:bottom w:w="57" w:type="dxa"/>
              <w:right w:w="108" w:type="dxa"/>
            </w:tcMar>
          </w:tcPr>
          <w:p w14:paraId="5D3B58C7"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lang w:val="en-US"/>
              </w:rPr>
            </w:pPr>
            <w:r w:rsidRPr="00F662F8">
              <w:rPr>
                <w:rFonts w:eastAsia="Times New Roman" w:cstheme="minorHAnsi"/>
                <w:sz w:val="24"/>
                <w:szCs w:val="24"/>
              </w:rPr>
              <w:t>1</w:t>
            </w:r>
            <w:r w:rsidRPr="00F662F8">
              <w:rPr>
                <w:rFonts w:eastAsia="Times New Roman" w:cstheme="minorHAnsi"/>
                <w:sz w:val="24"/>
                <w:szCs w:val="24"/>
                <w:lang w:val="en-US"/>
              </w:rPr>
              <w:t>.</w:t>
            </w:r>
          </w:p>
        </w:tc>
        <w:tc>
          <w:tcPr>
            <w:tcW w:w="860" w:type="pct"/>
            <w:tcMar>
              <w:top w:w="28" w:type="dxa"/>
              <w:left w:w="108" w:type="dxa"/>
              <w:bottom w:w="57" w:type="dxa"/>
              <w:right w:w="108" w:type="dxa"/>
            </w:tcMar>
          </w:tcPr>
          <w:p w14:paraId="48C9BD4F"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
                <w:sz w:val="24"/>
                <w:szCs w:val="24"/>
              </w:rPr>
            </w:pPr>
            <w:r w:rsidRPr="00F662F8">
              <w:rPr>
                <w:rFonts w:eastAsia="Times New Roman" w:cstheme="minorHAnsi"/>
                <w:sz w:val="24"/>
                <w:szCs w:val="24"/>
              </w:rPr>
              <w:t>Gamintojas ir modelis</w:t>
            </w:r>
          </w:p>
        </w:tc>
        <w:tc>
          <w:tcPr>
            <w:tcW w:w="2912" w:type="pct"/>
            <w:tcMar>
              <w:top w:w="28" w:type="dxa"/>
              <w:left w:w="108" w:type="dxa"/>
              <w:bottom w:w="57" w:type="dxa"/>
              <w:right w:w="108" w:type="dxa"/>
            </w:tcMar>
          </w:tcPr>
          <w:p w14:paraId="7E705291"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tc>
        <w:tc>
          <w:tcPr>
            <w:tcW w:w="917" w:type="pct"/>
          </w:tcPr>
          <w:p w14:paraId="361C80D5"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tc>
      </w:tr>
      <w:tr w:rsidR="00BA1862" w:rsidRPr="00F662F8" w14:paraId="47834C86" w14:textId="77777777" w:rsidTr="00916D87">
        <w:tc>
          <w:tcPr>
            <w:tcW w:w="311" w:type="pct"/>
            <w:tcMar>
              <w:top w:w="28" w:type="dxa"/>
              <w:left w:w="108" w:type="dxa"/>
              <w:bottom w:w="57" w:type="dxa"/>
              <w:right w:w="108" w:type="dxa"/>
            </w:tcMar>
          </w:tcPr>
          <w:p w14:paraId="265A8850"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Pr>
                <w:rFonts w:eastAsia="Times New Roman" w:cstheme="minorHAnsi"/>
                <w:sz w:val="24"/>
                <w:szCs w:val="24"/>
              </w:rPr>
              <w:t>2.</w:t>
            </w:r>
          </w:p>
        </w:tc>
        <w:tc>
          <w:tcPr>
            <w:tcW w:w="860" w:type="pct"/>
            <w:tcMar>
              <w:top w:w="28" w:type="dxa"/>
              <w:left w:w="108" w:type="dxa"/>
              <w:bottom w:w="57" w:type="dxa"/>
              <w:right w:w="108" w:type="dxa"/>
            </w:tcMar>
          </w:tcPr>
          <w:p w14:paraId="7A2C1AEF"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Backup įrenginio tipas ir paskirtis</w:t>
            </w:r>
          </w:p>
        </w:tc>
        <w:tc>
          <w:tcPr>
            <w:tcW w:w="2912" w:type="pct"/>
            <w:tcMar>
              <w:top w:w="28" w:type="dxa"/>
              <w:left w:w="108" w:type="dxa"/>
              <w:bottom w:w="57" w:type="dxa"/>
              <w:right w:w="108" w:type="dxa"/>
            </w:tcMar>
          </w:tcPr>
          <w:p w14:paraId="091233AB"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CC4E7D">
              <w:rPr>
                <w:rFonts w:eastAsia="Times New Roman" w:cstheme="minorHAnsi"/>
                <w:sz w:val="24"/>
                <w:szCs w:val="24"/>
              </w:rPr>
              <w:t>Išdubliuotų (dedublikuotų) rezervinių kopijų duomenų saugojimui ir atstatymui skirtas įrenginys, skirtas tik rezervinio kopijavimo poreikiams (gamintojo viešame interneto puslapyje aiškiai įvardintas kaip toks), jo valdymo įrankiai, papildomo funkcionalumo licencijos.</w:t>
            </w:r>
          </w:p>
        </w:tc>
        <w:tc>
          <w:tcPr>
            <w:tcW w:w="917" w:type="pct"/>
          </w:tcPr>
          <w:p w14:paraId="1A54EFE1"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tc>
      </w:tr>
      <w:tr w:rsidR="00BA1862" w:rsidRPr="00F662F8" w14:paraId="3BA2AACB" w14:textId="77777777" w:rsidTr="00916D87">
        <w:tc>
          <w:tcPr>
            <w:tcW w:w="311" w:type="pct"/>
            <w:tcMar>
              <w:top w:w="28" w:type="dxa"/>
              <w:left w:w="108" w:type="dxa"/>
              <w:bottom w:w="57" w:type="dxa"/>
              <w:right w:w="108" w:type="dxa"/>
            </w:tcMar>
          </w:tcPr>
          <w:p w14:paraId="131B9CF4"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 xml:space="preserve">3. </w:t>
            </w:r>
          </w:p>
        </w:tc>
        <w:tc>
          <w:tcPr>
            <w:tcW w:w="860" w:type="pct"/>
            <w:tcMar>
              <w:top w:w="28" w:type="dxa"/>
              <w:left w:w="108" w:type="dxa"/>
              <w:bottom w:w="57" w:type="dxa"/>
              <w:right w:w="108" w:type="dxa"/>
            </w:tcMar>
          </w:tcPr>
          <w:p w14:paraId="2561022D"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
                <w:sz w:val="24"/>
                <w:szCs w:val="24"/>
              </w:rPr>
            </w:pPr>
            <w:r w:rsidRPr="00F662F8">
              <w:rPr>
                <w:rFonts w:eastAsia="Times New Roman" w:cstheme="minorHAnsi"/>
                <w:sz w:val="24"/>
                <w:szCs w:val="24"/>
              </w:rPr>
              <w:t>Aukštis, talpa, diskų kiekis, RAID</w:t>
            </w:r>
          </w:p>
        </w:tc>
        <w:tc>
          <w:tcPr>
            <w:tcW w:w="2912" w:type="pct"/>
            <w:tcMar>
              <w:top w:w="28" w:type="dxa"/>
              <w:left w:w="108" w:type="dxa"/>
              <w:bottom w:w="57" w:type="dxa"/>
              <w:right w:w="108" w:type="dxa"/>
            </w:tcMar>
          </w:tcPr>
          <w:p w14:paraId="159D4168"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 xml:space="preserve">Įrenginys privalo užimti ne daugiau </w:t>
            </w:r>
            <w:r w:rsidRPr="00F662F8">
              <w:rPr>
                <w:rFonts w:eastAsia="Times New Roman" w:cstheme="minorHAnsi"/>
                <w:sz w:val="24"/>
                <w:szCs w:val="24"/>
                <w:lang w:val="en-US"/>
              </w:rPr>
              <w:t>2</w:t>
            </w:r>
            <w:r w:rsidRPr="00F662F8">
              <w:rPr>
                <w:rFonts w:eastAsia="Times New Roman" w:cstheme="minorHAnsi"/>
                <w:sz w:val="24"/>
                <w:szCs w:val="24"/>
              </w:rPr>
              <w:t xml:space="preserve">U tarnybinių stočių spintoje. </w:t>
            </w:r>
          </w:p>
          <w:p w14:paraId="4CE2EA14"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Diskiniai kaupikliai privalo būti ne lėtesni kaip 7,2K aps./min. ir karšto keitimo.</w:t>
            </w:r>
          </w:p>
          <w:p w14:paraId="383ADD0E"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 xml:space="preserve">Rezervinio kopijavimo bei atstatymo įrenginys privalo turėti ne mažiau kaip </w:t>
            </w:r>
            <w:r w:rsidRPr="00B36C58">
              <w:rPr>
                <w:rFonts w:eastAsia="Times New Roman" w:cstheme="minorHAnsi"/>
                <w:color w:val="000000" w:themeColor="text1"/>
                <w:sz w:val="24"/>
                <w:szCs w:val="24"/>
              </w:rPr>
              <w:t xml:space="preserve">48TB </w:t>
            </w:r>
            <w:r w:rsidRPr="00F662F8">
              <w:rPr>
                <w:rFonts w:eastAsia="Times New Roman" w:cstheme="minorHAnsi"/>
                <w:sz w:val="24"/>
                <w:szCs w:val="24"/>
              </w:rPr>
              <w:t>licencijuotos naudingos talpos. Naudingos talpos skaičiavimui ir įvertinimui turi būti taikomos taisyklės:</w:t>
            </w:r>
          </w:p>
          <w:p w14:paraId="453F291E"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
                <w:sz w:val="24"/>
                <w:szCs w:val="24"/>
              </w:rPr>
            </w:pPr>
          </w:p>
          <w:p w14:paraId="2319453B" w14:textId="77777777" w:rsidR="00BA1862" w:rsidRPr="00F662F8" w:rsidRDefault="00BA1862" w:rsidP="00916D87">
            <w:pPr>
              <w:pStyle w:val="ListParagraph"/>
              <w:numPr>
                <w:ilvl w:val="0"/>
                <w:numId w:val="3"/>
              </w:numPr>
              <w:spacing w:after="0" w:line="240" w:lineRule="auto"/>
              <w:jc w:val="both"/>
              <w:rPr>
                <w:rFonts w:cstheme="minorHAnsi"/>
                <w:sz w:val="24"/>
                <w:szCs w:val="24"/>
              </w:rPr>
            </w:pPr>
            <w:r w:rsidRPr="00F662F8">
              <w:rPr>
                <w:rFonts w:cstheme="minorHAnsi"/>
                <w:sz w:val="24"/>
                <w:szCs w:val="24"/>
              </w:rPr>
              <w:lastRenderedPageBreak/>
              <w:t>ši talpa turi būti apsaugota nuo bet kurių dviejų diskų gedimo vienu metu, jei siūlomo HDD talpa 8TB arba mažesnė, ir bet kurių trijų diskų gedimo vienu metu, jei siūlomo HDD talpa didesnė nei 8TB;</w:t>
            </w:r>
          </w:p>
          <w:p w14:paraId="1B81C067" w14:textId="77777777" w:rsidR="00BA1862" w:rsidRPr="00F662F8" w:rsidRDefault="00BA1862" w:rsidP="00916D87">
            <w:pPr>
              <w:pStyle w:val="ListParagraph"/>
              <w:numPr>
                <w:ilvl w:val="0"/>
                <w:numId w:val="3"/>
              </w:numPr>
              <w:spacing w:after="0" w:line="240" w:lineRule="auto"/>
              <w:jc w:val="both"/>
              <w:rPr>
                <w:rFonts w:cstheme="minorHAnsi"/>
                <w:sz w:val="24"/>
                <w:szCs w:val="24"/>
              </w:rPr>
            </w:pPr>
            <w:r w:rsidRPr="00F662F8">
              <w:rPr>
                <w:rFonts w:cstheme="minorHAnsi"/>
                <w:sz w:val="24"/>
                <w:szCs w:val="24"/>
              </w:rPr>
              <w:t>ši talpa skirta tik rezervinių kopijų saugojimui;</w:t>
            </w:r>
          </w:p>
          <w:p w14:paraId="5BBEEC55" w14:textId="77777777" w:rsidR="00BA1862" w:rsidRPr="00F662F8" w:rsidRDefault="00BA1862" w:rsidP="00916D87">
            <w:pPr>
              <w:pStyle w:val="ListParagraph"/>
              <w:numPr>
                <w:ilvl w:val="0"/>
                <w:numId w:val="3"/>
              </w:numPr>
              <w:spacing w:after="0" w:line="240" w:lineRule="auto"/>
              <w:jc w:val="both"/>
              <w:rPr>
                <w:rFonts w:cstheme="minorHAnsi"/>
                <w:sz w:val="24"/>
                <w:szCs w:val="24"/>
              </w:rPr>
            </w:pPr>
            <w:r w:rsidRPr="00F662F8">
              <w:rPr>
                <w:rFonts w:cstheme="minorHAnsi"/>
                <w:sz w:val="24"/>
                <w:szCs w:val="24"/>
              </w:rPr>
              <w:t>duomenys nuo diskų gedimo apsaugomi „dinamininio RAID“ būdu, kai duomenys rašomi visuose diskuose ir nėra išskiriamas atskiras atsarginis diskas. Atsarginė erdvė („hot space“) turi būti sukonfigūruota pagal gamintojo gerąsias praktikas („best practice“) ir jų talpa neįskaičiuota į naudingą talpą.</w:t>
            </w:r>
          </w:p>
          <w:p w14:paraId="467D6C91" w14:textId="77777777" w:rsidR="00BA1862" w:rsidRPr="00F662F8" w:rsidRDefault="00BA1862" w:rsidP="00916D87">
            <w:pPr>
              <w:pStyle w:val="ListParagraph"/>
              <w:numPr>
                <w:ilvl w:val="0"/>
                <w:numId w:val="3"/>
              </w:numPr>
              <w:spacing w:after="0" w:line="240" w:lineRule="auto"/>
              <w:jc w:val="both"/>
              <w:rPr>
                <w:rFonts w:cstheme="minorHAnsi"/>
                <w:sz w:val="24"/>
                <w:szCs w:val="24"/>
              </w:rPr>
            </w:pPr>
            <w:r w:rsidRPr="00F662F8">
              <w:rPr>
                <w:rFonts w:cstheme="minorHAnsi"/>
                <w:sz w:val="24"/>
                <w:szCs w:val="24"/>
              </w:rPr>
              <w:t xml:space="preserve">Visi siūlomi diskai duomenims turi būti identiški. </w:t>
            </w:r>
          </w:p>
          <w:p w14:paraId="54BAE1E6"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
                <w:sz w:val="24"/>
                <w:szCs w:val="24"/>
              </w:rPr>
            </w:pPr>
          </w:p>
          <w:p w14:paraId="20790BA0"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 xml:space="preserve">Įrenginio duomenų </w:t>
            </w:r>
            <w:r>
              <w:rPr>
                <w:rFonts w:eastAsia="Times New Roman" w:cstheme="minorHAnsi"/>
                <w:sz w:val="24"/>
                <w:szCs w:val="24"/>
              </w:rPr>
              <w:t>spartinančiajai atminčiai</w:t>
            </w:r>
            <w:r w:rsidRPr="00F662F8">
              <w:rPr>
                <w:rFonts w:eastAsia="Times New Roman" w:cstheme="minorHAnsi"/>
                <w:sz w:val="24"/>
                <w:szCs w:val="24"/>
              </w:rPr>
              <w:t xml:space="preserve"> turi būti dedikuota </w:t>
            </w:r>
            <w:r>
              <w:rPr>
                <w:rFonts w:eastAsia="Times New Roman" w:cstheme="minorHAnsi"/>
                <w:sz w:val="24"/>
                <w:szCs w:val="24"/>
              </w:rPr>
              <w:t xml:space="preserve">ne mažiau kaip </w:t>
            </w:r>
            <w:r w:rsidRPr="00F662F8">
              <w:rPr>
                <w:rFonts w:eastAsia="Times New Roman" w:cstheme="minorHAnsi"/>
                <w:sz w:val="24"/>
                <w:szCs w:val="24"/>
              </w:rPr>
              <w:t xml:space="preserve">3.84TB SSD tipo talpa. </w:t>
            </w:r>
          </w:p>
          <w:p w14:paraId="5EBFAF26"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p w14:paraId="7AAF1D38"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Turi būti galimybe plėsti naudingą talpą iki ne mažiau kaip 80 naudingos talpos TB įsigyjant ir aktyvuojant tik licencijas, nedidinant tarnybinių stočių spintoje užimamos vietos bei nepridedant jokios papildomos techninės įrangos (diskinių kaupiklių, diskų lentynų ar pan.) (angl. „</w:t>
            </w:r>
            <w:r w:rsidRPr="00F662F8">
              <w:rPr>
                <w:rFonts w:eastAsia="Times New Roman" w:cstheme="minorHAnsi"/>
                <w:i/>
                <w:iCs/>
                <w:sz w:val="24"/>
                <w:szCs w:val="24"/>
              </w:rPr>
              <w:t>capacity on demand</w:t>
            </w:r>
            <w:r w:rsidRPr="00F662F8">
              <w:rPr>
                <w:rFonts w:eastAsia="Times New Roman" w:cstheme="minorHAnsi"/>
                <w:sz w:val="24"/>
                <w:szCs w:val="24"/>
              </w:rPr>
              <w:t>“).</w:t>
            </w:r>
          </w:p>
          <w:p w14:paraId="2B00D412"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Cs/>
                <w:sz w:val="24"/>
                <w:szCs w:val="24"/>
              </w:rPr>
            </w:pPr>
          </w:p>
          <w:p w14:paraId="59D49193"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 xml:space="preserve">Turi būti galimybe plėsti naudingą talpą iki ne mažiau kaip </w:t>
            </w:r>
            <w:r>
              <w:rPr>
                <w:rFonts w:eastAsia="Times New Roman" w:cstheme="minorHAnsi"/>
                <w:sz w:val="24"/>
                <w:szCs w:val="24"/>
              </w:rPr>
              <w:t>128</w:t>
            </w:r>
            <w:r w:rsidRPr="00F662F8">
              <w:rPr>
                <w:rFonts w:eastAsia="Times New Roman" w:cstheme="minorHAnsi"/>
                <w:sz w:val="24"/>
                <w:szCs w:val="24"/>
              </w:rPr>
              <w:t>TB naudingos talpos pridedant papildomai įsigyjamas reikalingas licencijas bei techninę įrangą (diskinius kaupiklius, diskų lentynas).</w:t>
            </w:r>
          </w:p>
          <w:p w14:paraId="4AE1A8D7"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Cs/>
                <w:sz w:val="24"/>
                <w:szCs w:val="24"/>
              </w:rPr>
            </w:pPr>
          </w:p>
          <w:p w14:paraId="4E172449"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Cs/>
                <w:sz w:val="24"/>
                <w:szCs w:val="24"/>
              </w:rPr>
            </w:pPr>
            <w:r w:rsidRPr="00F662F8">
              <w:rPr>
                <w:rFonts w:eastAsia="Times New Roman" w:cstheme="minorHAnsi"/>
                <w:iCs/>
                <w:sz w:val="24"/>
                <w:szCs w:val="24"/>
              </w:rPr>
              <w:t xml:space="preserve">Papildomos diskinės talpos pridėjimas turi būti vykdomas nestabdant sistemos darbo. </w:t>
            </w:r>
          </w:p>
        </w:tc>
        <w:tc>
          <w:tcPr>
            <w:tcW w:w="917" w:type="pct"/>
          </w:tcPr>
          <w:p w14:paraId="68D7D8BD"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tc>
      </w:tr>
      <w:tr w:rsidR="00BA1862" w:rsidRPr="00F662F8" w14:paraId="502FE972" w14:textId="77777777" w:rsidTr="00916D87">
        <w:tc>
          <w:tcPr>
            <w:tcW w:w="311" w:type="pct"/>
            <w:tcMar>
              <w:top w:w="28" w:type="dxa"/>
              <w:left w:w="108" w:type="dxa"/>
              <w:bottom w:w="57" w:type="dxa"/>
              <w:right w:w="108" w:type="dxa"/>
            </w:tcMar>
          </w:tcPr>
          <w:p w14:paraId="6A7F094E"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Pr>
                <w:rFonts w:eastAsia="Times New Roman" w:cstheme="minorHAnsi"/>
                <w:sz w:val="24"/>
                <w:szCs w:val="24"/>
              </w:rPr>
              <w:t>4</w:t>
            </w:r>
            <w:r w:rsidRPr="00F662F8">
              <w:rPr>
                <w:rFonts w:eastAsia="Times New Roman" w:cstheme="minorHAnsi"/>
                <w:sz w:val="24"/>
                <w:szCs w:val="24"/>
              </w:rPr>
              <w:t>.</w:t>
            </w:r>
          </w:p>
        </w:tc>
        <w:tc>
          <w:tcPr>
            <w:tcW w:w="860" w:type="pct"/>
            <w:tcMar>
              <w:top w:w="28" w:type="dxa"/>
              <w:left w:w="108" w:type="dxa"/>
              <w:bottom w:w="57" w:type="dxa"/>
              <w:right w:w="108" w:type="dxa"/>
            </w:tcMar>
          </w:tcPr>
          <w:p w14:paraId="2694F431"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
                <w:sz w:val="24"/>
                <w:szCs w:val="24"/>
              </w:rPr>
            </w:pPr>
            <w:r w:rsidRPr="00F662F8">
              <w:rPr>
                <w:rFonts w:eastAsia="Times New Roman" w:cstheme="minorHAnsi"/>
                <w:sz w:val="24"/>
                <w:szCs w:val="24"/>
              </w:rPr>
              <w:t>Prievadai</w:t>
            </w:r>
          </w:p>
        </w:tc>
        <w:tc>
          <w:tcPr>
            <w:tcW w:w="2912" w:type="pct"/>
            <w:tcMar>
              <w:top w:w="28" w:type="dxa"/>
              <w:left w:w="108" w:type="dxa"/>
              <w:bottom w:w="57" w:type="dxa"/>
              <w:right w:w="108" w:type="dxa"/>
            </w:tcMar>
          </w:tcPr>
          <w:p w14:paraId="3B68C322"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color w:val="ED0000"/>
                <w:sz w:val="24"/>
                <w:szCs w:val="24"/>
              </w:rPr>
            </w:pPr>
            <w:r w:rsidRPr="00F662F8">
              <w:rPr>
                <w:rFonts w:eastAsia="Times New Roman" w:cstheme="minorHAnsi"/>
                <w:sz w:val="24"/>
                <w:szCs w:val="24"/>
              </w:rPr>
              <w:t xml:space="preserve">Pateikiamos ne mažiau kaip: 4 vnt. 10/25 Gbit Ethernet SFP28 tipo jungtys ir  2 vnt. 1Gbit Ethernet BASE-T tipo jungtys ir </w:t>
            </w:r>
            <w:r w:rsidRPr="00F662F8">
              <w:rPr>
                <w:rFonts w:eastAsia="Times New Roman" w:cstheme="minorHAnsi"/>
                <w:sz w:val="24"/>
                <w:szCs w:val="24"/>
                <w:lang w:val="en-US"/>
              </w:rPr>
              <w:t>4 vnt DAC tipo</w:t>
            </w:r>
            <w:r w:rsidRPr="00F662F8">
              <w:rPr>
                <w:rFonts w:eastAsia="Times New Roman" w:cstheme="minorHAnsi"/>
                <w:sz w:val="24"/>
                <w:szCs w:val="24"/>
              </w:rPr>
              <w:t xml:space="preserve"> kabelių, ne mažesnio ilgio nei </w:t>
            </w:r>
            <w:r w:rsidRPr="00F662F8">
              <w:rPr>
                <w:rFonts w:eastAsia="Times New Roman" w:cstheme="minorHAnsi"/>
                <w:sz w:val="24"/>
                <w:szCs w:val="24"/>
                <w:lang w:val="en-US"/>
              </w:rPr>
              <w:t>3 metrai</w:t>
            </w:r>
            <w:r w:rsidRPr="00F662F8">
              <w:rPr>
                <w:rFonts w:eastAsia="Times New Roman" w:cstheme="minorHAnsi"/>
                <w:sz w:val="24"/>
                <w:szCs w:val="24"/>
              </w:rPr>
              <w:t xml:space="preserve">. </w:t>
            </w:r>
          </w:p>
          <w:p w14:paraId="3D12C632"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 xml:space="preserve">Turi būti galimybė papildomai diegti SFP+ tipo Ethernet bei Fiber Channel jungtis. </w:t>
            </w:r>
          </w:p>
          <w:p w14:paraId="144A33A6"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 xml:space="preserve">Ne mažiau kaip 1 vnt. dedikuotas RJ45 prievadas įrangos valdymui </w:t>
            </w:r>
          </w:p>
        </w:tc>
        <w:tc>
          <w:tcPr>
            <w:tcW w:w="917" w:type="pct"/>
          </w:tcPr>
          <w:p w14:paraId="7DAC25B7"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color w:val="ED0000"/>
                <w:sz w:val="24"/>
                <w:szCs w:val="24"/>
              </w:rPr>
            </w:pPr>
          </w:p>
        </w:tc>
      </w:tr>
      <w:tr w:rsidR="00BA1862" w:rsidRPr="00F662F8" w14:paraId="4321BC54" w14:textId="77777777" w:rsidTr="00916D87">
        <w:tc>
          <w:tcPr>
            <w:tcW w:w="311" w:type="pct"/>
            <w:tcMar>
              <w:top w:w="28" w:type="dxa"/>
              <w:left w:w="108" w:type="dxa"/>
              <w:bottom w:w="57" w:type="dxa"/>
              <w:right w:w="108" w:type="dxa"/>
            </w:tcMar>
          </w:tcPr>
          <w:p w14:paraId="591B9FF1"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Pr>
                <w:rFonts w:eastAsia="Times New Roman" w:cstheme="minorHAnsi"/>
                <w:sz w:val="24"/>
                <w:szCs w:val="24"/>
              </w:rPr>
              <w:t>5</w:t>
            </w:r>
            <w:r w:rsidRPr="00F662F8">
              <w:rPr>
                <w:rFonts w:eastAsia="Times New Roman" w:cstheme="minorHAnsi"/>
                <w:sz w:val="24"/>
                <w:szCs w:val="24"/>
              </w:rPr>
              <w:t>.</w:t>
            </w:r>
          </w:p>
        </w:tc>
        <w:tc>
          <w:tcPr>
            <w:tcW w:w="860" w:type="pct"/>
            <w:tcMar>
              <w:top w:w="28" w:type="dxa"/>
              <w:left w:w="108" w:type="dxa"/>
              <w:bottom w:w="57" w:type="dxa"/>
              <w:right w:w="108" w:type="dxa"/>
            </w:tcMar>
          </w:tcPr>
          <w:p w14:paraId="13D3BF1D"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
                <w:sz w:val="24"/>
                <w:szCs w:val="24"/>
              </w:rPr>
            </w:pPr>
            <w:r w:rsidRPr="00F662F8">
              <w:rPr>
                <w:rFonts w:eastAsia="Times New Roman" w:cstheme="minorHAnsi"/>
                <w:sz w:val="24"/>
                <w:szCs w:val="24"/>
              </w:rPr>
              <w:t>Įrenginio paralelinių kopijavimo darbų („streams“) minimalus kiekis</w:t>
            </w:r>
          </w:p>
        </w:tc>
        <w:tc>
          <w:tcPr>
            <w:tcW w:w="2912" w:type="pct"/>
            <w:tcMar>
              <w:top w:w="28" w:type="dxa"/>
              <w:left w:w="108" w:type="dxa"/>
              <w:bottom w:w="57" w:type="dxa"/>
              <w:right w:w="108" w:type="dxa"/>
            </w:tcMar>
          </w:tcPr>
          <w:p w14:paraId="3D5777DA"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
                <w:sz w:val="24"/>
                <w:szCs w:val="24"/>
              </w:rPr>
            </w:pPr>
            <w:r w:rsidRPr="00F662F8">
              <w:rPr>
                <w:rFonts w:eastAsia="Times New Roman" w:cstheme="minorHAnsi"/>
                <w:sz w:val="24"/>
                <w:szCs w:val="24"/>
              </w:rPr>
              <w:t>Įrenginys turi palaikyti ne mažiau nei 250 vykdomų duomenų rašymo bei 75 duomenų skaitymo srautų  („streams“)</w:t>
            </w:r>
          </w:p>
        </w:tc>
        <w:tc>
          <w:tcPr>
            <w:tcW w:w="917" w:type="pct"/>
          </w:tcPr>
          <w:p w14:paraId="5F9DC880"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tc>
      </w:tr>
      <w:tr w:rsidR="00BA1862" w:rsidRPr="00F662F8" w14:paraId="51CA7619" w14:textId="77777777" w:rsidTr="00916D87">
        <w:tc>
          <w:tcPr>
            <w:tcW w:w="311" w:type="pct"/>
            <w:tcMar>
              <w:top w:w="28" w:type="dxa"/>
              <w:left w:w="108" w:type="dxa"/>
              <w:bottom w:w="57" w:type="dxa"/>
              <w:right w:w="108" w:type="dxa"/>
            </w:tcMar>
          </w:tcPr>
          <w:p w14:paraId="0042B697"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Pr>
                <w:rFonts w:eastAsia="Times New Roman" w:cstheme="minorHAnsi"/>
                <w:sz w:val="24"/>
                <w:szCs w:val="24"/>
              </w:rPr>
              <w:t>6</w:t>
            </w:r>
            <w:r w:rsidRPr="00F662F8">
              <w:rPr>
                <w:rFonts w:eastAsia="Times New Roman" w:cstheme="minorHAnsi"/>
                <w:sz w:val="24"/>
                <w:szCs w:val="24"/>
              </w:rPr>
              <w:t>.</w:t>
            </w:r>
          </w:p>
        </w:tc>
        <w:tc>
          <w:tcPr>
            <w:tcW w:w="860" w:type="pct"/>
            <w:tcMar>
              <w:top w:w="28" w:type="dxa"/>
              <w:left w:w="108" w:type="dxa"/>
              <w:bottom w:w="57" w:type="dxa"/>
              <w:right w:w="108" w:type="dxa"/>
            </w:tcMar>
          </w:tcPr>
          <w:p w14:paraId="1A636AB1"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
                <w:sz w:val="24"/>
                <w:szCs w:val="24"/>
              </w:rPr>
            </w:pPr>
            <w:r w:rsidRPr="00F662F8">
              <w:rPr>
                <w:rFonts w:eastAsia="Times New Roman" w:cstheme="minorHAnsi"/>
                <w:sz w:val="24"/>
                <w:szCs w:val="24"/>
              </w:rPr>
              <w:t>Duomenų išdubliavimas</w:t>
            </w:r>
            <w:r>
              <w:rPr>
                <w:rFonts w:eastAsia="Times New Roman" w:cstheme="minorHAnsi"/>
                <w:sz w:val="24"/>
                <w:szCs w:val="24"/>
              </w:rPr>
              <w:t xml:space="preserve"> bei suspaudimas</w:t>
            </w:r>
          </w:p>
        </w:tc>
        <w:tc>
          <w:tcPr>
            <w:tcW w:w="2912" w:type="pct"/>
            <w:tcMar>
              <w:top w:w="28" w:type="dxa"/>
              <w:left w:w="108" w:type="dxa"/>
              <w:bottom w:w="57" w:type="dxa"/>
              <w:right w:w="108" w:type="dxa"/>
            </w:tcMar>
          </w:tcPr>
          <w:p w14:paraId="7300C5BE"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 xml:space="preserve">Rezervinio kopijavimo bei atstatymo įrenginys privalo turėti realaus laiko (angl. „in-line“) duomenų išdubliavimo funkciją (angl. „data deduplication“) ir licencijas visai talpai. </w:t>
            </w:r>
          </w:p>
          <w:p w14:paraId="7FAEF021"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
                <w:sz w:val="24"/>
                <w:szCs w:val="24"/>
              </w:rPr>
            </w:pPr>
            <w:r w:rsidRPr="00F662F8">
              <w:rPr>
                <w:rFonts w:eastAsia="Times New Roman" w:cstheme="minorHAnsi"/>
                <w:sz w:val="24"/>
                <w:szCs w:val="24"/>
              </w:rPr>
              <w:t xml:space="preserve">Rezervinio kopijavimo bei atstatymo įrenginys privalo turėti realaus laiko (angl. „in-line“) duomenų </w:t>
            </w:r>
            <w:r>
              <w:rPr>
                <w:rFonts w:eastAsia="Times New Roman" w:cstheme="minorHAnsi"/>
                <w:sz w:val="24"/>
                <w:szCs w:val="24"/>
              </w:rPr>
              <w:t>suspaudimo</w:t>
            </w:r>
            <w:r w:rsidRPr="00F662F8">
              <w:rPr>
                <w:rFonts w:eastAsia="Times New Roman" w:cstheme="minorHAnsi"/>
                <w:sz w:val="24"/>
                <w:szCs w:val="24"/>
              </w:rPr>
              <w:t xml:space="preserve"> funkciją (angl. „compression“) ir licencijas visai talpai. </w:t>
            </w:r>
          </w:p>
          <w:p w14:paraId="753F19CC"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
                <w:sz w:val="24"/>
                <w:szCs w:val="24"/>
              </w:rPr>
            </w:pPr>
            <w:r w:rsidRPr="00F662F8">
              <w:rPr>
                <w:rFonts w:eastAsia="Times New Roman" w:cstheme="minorHAnsi"/>
                <w:sz w:val="24"/>
                <w:szCs w:val="24"/>
              </w:rPr>
              <w:lastRenderedPageBreak/>
              <w:t>Reikalaujamos licencijos, leidžiančios naudoti išdubliavimo duomenų šaltinio pusėje funkciją visai talpai.</w:t>
            </w:r>
          </w:p>
          <w:p w14:paraId="10CD9209" w14:textId="77777777" w:rsidR="00BA1862" w:rsidRPr="00D24608" w:rsidRDefault="00BA1862" w:rsidP="00916D87">
            <w:pPr>
              <w:pBdr>
                <w:top w:val="nil"/>
                <w:left w:val="nil"/>
                <w:bottom w:val="nil"/>
                <w:right w:val="nil"/>
                <w:between w:val="nil"/>
              </w:pBdr>
              <w:spacing w:after="0" w:line="240" w:lineRule="auto"/>
              <w:jc w:val="both"/>
              <w:rPr>
                <w:rFonts w:eastAsia="Times New Roman" w:cstheme="minorHAnsi"/>
                <w:i/>
                <w:color w:val="000000" w:themeColor="text1"/>
                <w:sz w:val="24"/>
                <w:szCs w:val="24"/>
              </w:rPr>
            </w:pPr>
            <w:r w:rsidRPr="00D24608">
              <w:rPr>
                <w:rFonts w:eastAsia="Times New Roman" w:cstheme="minorHAnsi"/>
                <w:color w:val="000000" w:themeColor="text1"/>
                <w:sz w:val="24"/>
                <w:szCs w:val="24"/>
              </w:rPr>
              <w:t xml:space="preserve">Sistema turi naudoti kintamo bloko dydžio duomenų išdubliavimo algoritmą. Jei įrenginys naudoja fiksuoto bloko dydžio algoritmą – turi būti pateikta papildomai 48 TB daugiau naudingos talpos. </w:t>
            </w:r>
          </w:p>
          <w:p w14:paraId="39681E8A" w14:textId="77777777" w:rsidR="00BA1862" w:rsidRPr="00D24608" w:rsidRDefault="00BA1862" w:rsidP="00916D87">
            <w:pPr>
              <w:pBdr>
                <w:top w:val="nil"/>
                <w:left w:val="nil"/>
                <w:bottom w:val="nil"/>
                <w:right w:val="nil"/>
                <w:between w:val="nil"/>
              </w:pBdr>
              <w:spacing w:after="0" w:line="240" w:lineRule="auto"/>
              <w:jc w:val="both"/>
              <w:rPr>
                <w:rFonts w:eastAsia="Times New Roman" w:cstheme="minorHAnsi"/>
                <w:i/>
                <w:color w:val="000000" w:themeColor="text1"/>
                <w:sz w:val="24"/>
                <w:szCs w:val="24"/>
              </w:rPr>
            </w:pPr>
          </w:p>
          <w:p w14:paraId="6A68619B" w14:textId="77777777" w:rsidR="00BA1862" w:rsidRPr="00D24608" w:rsidRDefault="00BA1862" w:rsidP="00916D87">
            <w:pPr>
              <w:pBdr>
                <w:top w:val="nil"/>
                <w:left w:val="nil"/>
                <w:bottom w:val="nil"/>
                <w:right w:val="nil"/>
                <w:between w:val="nil"/>
              </w:pBdr>
              <w:spacing w:after="0" w:line="240" w:lineRule="auto"/>
              <w:jc w:val="both"/>
              <w:rPr>
                <w:rFonts w:eastAsia="Times New Roman" w:cstheme="minorHAnsi"/>
                <w:color w:val="000000" w:themeColor="text1"/>
                <w:sz w:val="24"/>
                <w:szCs w:val="24"/>
              </w:rPr>
            </w:pPr>
            <w:r w:rsidRPr="00D24608">
              <w:rPr>
                <w:rFonts w:eastAsia="Times New Roman" w:cstheme="minorHAnsi"/>
                <w:color w:val="000000" w:themeColor="text1"/>
                <w:sz w:val="24"/>
                <w:szCs w:val="24"/>
              </w:rPr>
              <w:t xml:space="preserve">Turi naudoti globalų duomenų išdubliavimą (lyginami duomenys, gaunami iš visų sistemų, visais palaikomais protokolais). Jei įrenginys nepalaiko globalios deduplikacijos – turi būti pateikta papildomai 48 TB naudingos talpos. </w:t>
            </w:r>
          </w:p>
          <w:p w14:paraId="41757078" w14:textId="77777777" w:rsidR="00BA1862" w:rsidRPr="00D24608" w:rsidRDefault="00BA1862" w:rsidP="00916D87">
            <w:pPr>
              <w:pBdr>
                <w:top w:val="nil"/>
                <w:left w:val="nil"/>
                <w:bottom w:val="nil"/>
                <w:right w:val="nil"/>
                <w:between w:val="nil"/>
              </w:pBdr>
              <w:spacing w:after="0" w:line="240" w:lineRule="auto"/>
              <w:jc w:val="both"/>
              <w:rPr>
                <w:rFonts w:eastAsia="Times New Roman" w:cstheme="minorHAnsi"/>
                <w:iCs/>
                <w:color w:val="000000" w:themeColor="text1"/>
                <w:sz w:val="24"/>
                <w:szCs w:val="24"/>
              </w:rPr>
            </w:pPr>
            <w:r w:rsidRPr="00D24608">
              <w:rPr>
                <w:rFonts w:eastAsia="Times New Roman" w:cstheme="minorHAnsi"/>
                <w:iCs/>
                <w:color w:val="000000" w:themeColor="text1"/>
                <w:sz w:val="24"/>
                <w:szCs w:val="24"/>
              </w:rPr>
              <w:t xml:space="preserve">Įrenginys turi naudoti aparatinį duomenų suspaudimo valdiklį, jei duomenų suspaudimas vykdomas programiškai - </w:t>
            </w:r>
            <w:r w:rsidRPr="00D24608">
              <w:rPr>
                <w:rFonts w:eastAsia="Times New Roman" w:cstheme="minorHAnsi"/>
                <w:color w:val="000000" w:themeColor="text1"/>
                <w:sz w:val="24"/>
                <w:szCs w:val="24"/>
              </w:rPr>
              <w:t>turi būti pateikta papildomai 48 TB naudingos talpos.</w:t>
            </w:r>
          </w:p>
          <w:p w14:paraId="51687A6B"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Cs/>
                <w:sz w:val="24"/>
                <w:szCs w:val="24"/>
              </w:rPr>
            </w:pPr>
          </w:p>
        </w:tc>
        <w:tc>
          <w:tcPr>
            <w:tcW w:w="917" w:type="pct"/>
          </w:tcPr>
          <w:p w14:paraId="302D3802"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tc>
      </w:tr>
      <w:tr w:rsidR="00BA1862" w:rsidRPr="00F662F8" w14:paraId="2D3014D1" w14:textId="77777777" w:rsidTr="00916D87">
        <w:tc>
          <w:tcPr>
            <w:tcW w:w="311" w:type="pct"/>
            <w:tcMar>
              <w:top w:w="28" w:type="dxa"/>
              <w:left w:w="108" w:type="dxa"/>
              <w:bottom w:w="57" w:type="dxa"/>
              <w:right w:w="108" w:type="dxa"/>
            </w:tcMar>
          </w:tcPr>
          <w:p w14:paraId="5F2180F6"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Pr>
                <w:rFonts w:eastAsia="Times New Roman" w:cstheme="minorHAnsi"/>
                <w:sz w:val="24"/>
                <w:szCs w:val="24"/>
              </w:rPr>
              <w:t>7</w:t>
            </w:r>
            <w:r w:rsidRPr="00F662F8">
              <w:rPr>
                <w:rFonts w:eastAsia="Times New Roman" w:cstheme="minorHAnsi"/>
                <w:sz w:val="24"/>
                <w:szCs w:val="24"/>
              </w:rPr>
              <w:t>.</w:t>
            </w:r>
          </w:p>
        </w:tc>
        <w:tc>
          <w:tcPr>
            <w:tcW w:w="860" w:type="pct"/>
            <w:tcMar>
              <w:top w:w="28" w:type="dxa"/>
              <w:left w:w="108" w:type="dxa"/>
              <w:bottom w:w="57" w:type="dxa"/>
              <w:right w:w="108" w:type="dxa"/>
            </w:tcMar>
          </w:tcPr>
          <w:p w14:paraId="235D3C14"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Duomenų integralumo aukšto patikimumo funkcionalumas</w:t>
            </w:r>
          </w:p>
        </w:tc>
        <w:tc>
          <w:tcPr>
            <w:tcW w:w="2912" w:type="pct"/>
            <w:tcMar>
              <w:top w:w="28" w:type="dxa"/>
              <w:left w:w="108" w:type="dxa"/>
              <w:bottom w:w="57" w:type="dxa"/>
              <w:right w:w="108" w:type="dxa"/>
            </w:tcMar>
          </w:tcPr>
          <w:p w14:paraId="4AD69585"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Viso įrenginio veikimo ciklo metu turi veikti nepertraukiamas duomenų integralumo (angl. „</w:t>
            </w:r>
            <w:r w:rsidRPr="00F662F8">
              <w:rPr>
                <w:rFonts w:eastAsia="Times New Roman" w:cstheme="minorHAnsi"/>
                <w:i/>
                <w:iCs/>
                <w:sz w:val="24"/>
                <w:szCs w:val="24"/>
              </w:rPr>
              <w:t>verification</w:t>
            </w:r>
            <w:r w:rsidRPr="00F662F8">
              <w:rPr>
                <w:rFonts w:eastAsia="Times New Roman" w:cstheme="minorHAnsi"/>
                <w:sz w:val="24"/>
                <w:szCs w:val="24"/>
              </w:rPr>
              <w:t>“) procesas, nepertraukiamai tikrinantis saugomus duomenis dėl galimų pakitim</w:t>
            </w:r>
            <w:r>
              <w:rPr>
                <w:rFonts w:eastAsia="Times New Roman" w:cstheme="minorHAnsi"/>
                <w:sz w:val="24"/>
                <w:szCs w:val="24"/>
              </w:rPr>
              <w:t>ų</w:t>
            </w:r>
            <w:r w:rsidRPr="00F662F8">
              <w:rPr>
                <w:rFonts w:eastAsia="Times New Roman" w:cstheme="minorHAnsi"/>
                <w:sz w:val="24"/>
                <w:szCs w:val="24"/>
              </w:rPr>
              <w:t xml:space="preserve"> ir, pastebėjus duomenų sugadinimą, automatiškai atstatantis į teisingą būseną. </w:t>
            </w:r>
          </w:p>
        </w:tc>
        <w:tc>
          <w:tcPr>
            <w:tcW w:w="917" w:type="pct"/>
          </w:tcPr>
          <w:p w14:paraId="2532E962"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tc>
      </w:tr>
      <w:tr w:rsidR="00BA1862" w:rsidRPr="00F662F8" w14:paraId="728325C1" w14:textId="77777777" w:rsidTr="00916D87">
        <w:tc>
          <w:tcPr>
            <w:tcW w:w="311" w:type="pct"/>
            <w:tcMar>
              <w:top w:w="28" w:type="dxa"/>
              <w:left w:w="108" w:type="dxa"/>
              <w:bottom w:w="57" w:type="dxa"/>
              <w:right w:w="108" w:type="dxa"/>
            </w:tcMar>
          </w:tcPr>
          <w:p w14:paraId="289B62F4"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Pr>
                <w:rFonts w:eastAsia="Times New Roman" w:cstheme="minorHAnsi"/>
                <w:sz w:val="24"/>
                <w:szCs w:val="24"/>
              </w:rPr>
              <w:t>8</w:t>
            </w:r>
            <w:r w:rsidRPr="00F662F8">
              <w:rPr>
                <w:rFonts w:eastAsia="Times New Roman" w:cstheme="minorHAnsi"/>
                <w:sz w:val="24"/>
                <w:szCs w:val="24"/>
              </w:rPr>
              <w:t>.</w:t>
            </w:r>
          </w:p>
        </w:tc>
        <w:tc>
          <w:tcPr>
            <w:tcW w:w="860" w:type="pct"/>
            <w:tcMar>
              <w:top w:w="28" w:type="dxa"/>
              <w:left w:w="108" w:type="dxa"/>
              <w:bottom w:w="57" w:type="dxa"/>
              <w:right w:w="108" w:type="dxa"/>
            </w:tcMar>
          </w:tcPr>
          <w:p w14:paraId="6C2FF9FD"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
                <w:sz w:val="24"/>
                <w:szCs w:val="24"/>
              </w:rPr>
            </w:pPr>
            <w:r w:rsidRPr="00F662F8">
              <w:rPr>
                <w:rFonts w:eastAsia="Times New Roman" w:cstheme="minorHAnsi"/>
                <w:sz w:val="24"/>
                <w:szCs w:val="24"/>
              </w:rPr>
              <w:t>Integracija su trečių šalių sprendimais</w:t>
            </w:r>
          </w:p>
        </w:tc>
        <w:tc>
          <w:tcPr>
            <w:tcW w:w="2912" w:type="pct"/>
            <w:tcMar>
              <w:top w:w="28" w:type="dxa"/>
              <w:left w:w="108" w:type="dxa"/>
              <w:bottom w:w="57" w:type="dxa"/>
              <w:right w:w="108" w:type="dxa"/>
            </w:tcMar>
          </w:tcPr>
          <w:p w14:paraId="07964677"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
                <w:sz w:val="24"/>
                <w:szCs w:val="24"/>
              </w:rPr>
            </w:pPr>
            <w:r w:rsidRPr="00F662F8">
              <w:rPr>
                <w:rFonts w:eastAsia="Times New Roman" w:cstheme="minorHAnsi"/>
                <w:sz w:val="24"/>
                <w:szCs w:val="24"/>
              </w:rPr>
              <w:t>Papildomai įrenginys turi būti suderinamas išdubliavimo protokolo lygyje su šia programine įranga (reikalaujama gamintojo suderinamumo matrica):</w:t>
            </w:r>
          </w:p>
          <w:p w14:paraId="2B19F7E8" w14:textId="77777777" w:rsidR="00BA1862" w:rsidRPr="00F662F8" w:rsidRDefault="00BA1862" w:rsidP="00916D87">
            <w:pPr>
              <w:pStyle w:val="ListParagraph"/>
              <w:numPr>
                <w:ilvl w:val="0"/>
                <w:numId w:val="1"/>
              </w:numPr>
              <w:pBdr>
                <w:top w:val="nil"/>
                <w:left w:val="nil"/>
                <w:bottom w:val="nil"/>
                <w:right w:val="nil"/>
                <w:between w:val="nil"/>
              </w:pBdr>
              <w:spacing w:after="0" w:line="240" w:lineRule="auto"/>
              <w:jc w:val="both"/>
              <w:rPr>
                <w:rFonts w:eastAsia="Times New Roman" w:cstheme="minorHAnsi"/>
                <w:sz w:val="24"/>
                <w:szCs w:val="24"/>
              </w:rPr>
            </w:pPr>
            <w:bookmarkStart w:id="2" w:name="_3l18frh" w:colFirst="0" w:colLast="0"/>
            <w:bookmarkEnd w:id="2"/>
            <w:r w:rsidRPr="00F662F8">
              <w:rPr>
                <w:rFonts w:eastAsia="Times New Roman" w:cstheme="minorHAnsi"/>
                <w:sz w:val="24"/>
                <w:szCs w:val="24"/>
              </w:rPr>
              <w:t>Šiame pirkime siūloma rezervinio kopijavimo programine įranga.</w:t>
            </w:r>
          </w:p>
          <w:p w14:paraId="1E484D5C" w14:textId="77777777" w:rsidR="00BA1862" w:rsidRPr="00F662F8" w:rsidRDefault="00BA1862" w:rsidP="00916D87">
            <w:pPr>
              <w:pStyle w:val="ListParagraph"/>
              <w:numPr>
                <w:ilvl w:val="0"/>
                <w:numId w:val="1"/>
              </w:num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Veritas NetBackup</w:t>
            </w:r>
          </w:p>
          <w:p w14:paraId="56CC803D" w14:textId="77777777" w:rsidR="00BA1862" w:rsidRPr="00F662F8" w:rsidRDefault="00BA1862" w:rsidP="00916D87">
            <w:pPr>
              <w:pStyle w:val="ListParagraph"/>
              <w:numPr>
                <w:ilvl w:val="0"/>
                <w:numId w:val="1"/>
              </w:num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MicroFocus Data protector</w:t>
            </w:r>
          </w:p>
          <w:p w14:paraId="7E607860" w14:textId="77777777" w:rsidR="00BA1862" w:rsidRPr="00F662F8" w:rsidRDefault="00BA1862" w:rsidP="00916D87">
            <w:pPr>
              <w:pStyle w:val="ListParagraph"/>
              <w:numPr>
                <w:ilvl w:val="0"/>
                <w:numId w:val="1"/>
              </w:num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Veeam Backup &amp; Replication</w:t>
            </w:r>
          </w:p>
          <w:p w14:paraId="55F7015F" w14:textId="77777777" w:rsidR="00BA1862" w:rsidRPr="00F662F8" w:rsidRDefault="00BA1862" w:rsidP="00916D87">
            <w:pPr>
              <w:pStyle w:val="ListParagraph"/>
              <w:numPr>
                <w:ilvl w:val="0"/>
                <w:numId w:val="1"/>
              </w:num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Quest vRanger</w:t>
            </w:r>
          </w:p>
          <w:p w14:paraId="7FFC7525"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p w14:paraId="13271244"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Trečių šalių taikomosios programos ir duomenų bazės, kurias turi būti galimybė kopijuoti tiesioginės integracijos būdu, pritaikant duomenų išdubliavimą duomenų šaltinio pusėje:</w:t>
            </w:r>
          </w:p>
          <w:p w14:paraId="5CF47E10" w14:textId="77777777" w:rsidR="00BA1862" w:rsidRPr="00F662F8" w:rsidRDefault="00BA1862" w:rsidP="00916D87">
            <w:pPr>
              <w:pStyle w:val="ListParagraph"/>
              <w:numPr>
                <w:ilvl w:val="0"/>
                <w:numId w:val="4"/>
              </w:numPr>
              <w:pBdr>
                <w:top w:val="nil"/>
                <w:left w:val="nil"/>
                <w:bottom w:val="nil"/>
                <w:right w:val="nil"/>
                <w:between w:val="nil"/>
              </w:pBdr>
              <w:spacing w:after="0" w:line="240" w:lineRule="auto"/>
              <w:jc w:val="both"/>
              <w:rPr>
                <w:rFonts w:eastAsia="Times New Roman" w:cstheme="minorHAnsi"/>
                <w:i/>
                <w:sz w:val="24"/>
                <w:szCs w:val="24"/>
              </w:rPr>
            </w:pPr>
            <w:r w:rsidRPr="00F662F8">
              <w:rPr>
                <w:rFonts w:eastAsia="Times New Roman" w:cstheme="minorHAnsi"/>
                <w:sz w:val="24"/>
                <w:szCs w:val="24"/>
              </w:rPr>
              <w:t xml:space="preserve">Oracle RMAN, </w:t>
            </w:r>
          </w:p>
          <w:p w14:paraId="2A9510F8" w14:textId="77777777" w:rsidR="00BA1862" w:rsidRPr="00F662F8" w:rsidRDefault="00BA1862" w:rsidP="00916D87">
            <w:pPr>
              <w:pStyle w:val="ListParagraph"/>
              <w:numPr>
                <w:ilvl w:val="0"/>
                <w:numId w:val="4"/>
              </w:numPr>
              <w:pBdr>
                <w:top w:val="nil"/>
                <w:left w:val="nil"/>
                <w:bottom w:val="nil"/>
                <w:right w:val="nil"/>
                <w:between w:val="nil"/>
              </w:pBdr>
              <w:spacing w:after="0" w:line="240" w:lineRule="auto"/>
              <w:jc w:val="both"/>
              <w:rPr>
                <w:rFonts w:eastAsia="Times New Roman" w:cstheme="minorHAnsi"/>
                <w:i/>
                <w:sz w:val="24"/>
                <w:szCs w:val="24"/>
              </w:rPr>
            </w:pPr>
            <w:r w:rsidRPr="00F662F8">
              <w:rPr>
                <w:rFonts w:eastAsia="Times New Roman" w:cstheme="minorHAnsi"/>
                <w:sz w:val="24"/>
                <w:szCs w:val="24"/>
              </w:rPr>
              <w:t xml:space="preserve">Microsoft SQL, </w:t>
            </w:r>
          </w:p>
          <w:p w14:paraId="33B8B5D0" w14:textId="77777777" w:rsidR="00BA1862" w:rsidRPr="00F662F8" w:rsidRDefault="00BA1862" w:rsidP="00916D87">
            <w:pPr>
              <w:pStyle w:val="ListParagraph"/>
              <w:numPr>
                <w:ilvl w:val="0"/>
                <w:numId w:val="4"/>
              </w:numPr>
              <w:pBdr>
                <w:top w:val="nil"/>
                <w:left w:val="nil"/>
                <w:bottom w:val="nil"/>
                <w:right w:val="nil"/>
                <w:between w:val="nil"/>
              </w:pBdr>
              <w:spacing w:after="0" w:line="240" w:lineRule="auto"/>
              <w:jc w:val="both"/>
              <w:rPr>
                <w:rFonts w:eastAsia="Times New Roman" w:cstheme="minorHAnsi"/>
                <w:i/>
                <w:sz w:val="24"/>
                <w:szCs w:val="24"/>
              </w:rPr>
            </w:pPr>
            <w:r w:rsidRPr="00F662F8">
              <w:rPr>
                <w:rFonts w:eastAsia="Times New Roman" w:cstheme="minorHAnsi"/>
                <w:sz w:val="24"/>
                <w:szCs w:val="24"/>
              </w:rPr>
              <w:t>Microsoft Exchange</w:t>
            </w:r>
          </w:p>
          <w:p w14:paraId="5023BD7C" w14:textId="77777777" w:rsidR="00BA1862" w:rsidRPr="00F662F8" w:rsidRDefault="00BA1862" w:rsidP="00916D87">
            <w:pPr>
              <w:pStyle w:val="ListParagraph"/>
              <w:numPr>
                <w:ilvl w:val="0"/>
                <w:numId w:val="4"/>
              </w:numPr>
              <w:pBdr>
                <w:top w:val="nil"/>
                <w:left w:val="nil"/>
                <w:bottom w:val="nil"/>
                <w:right w:val="nil"/>
                <w:between w:val="nil"/>
              </w:pBdr>
              <w:spacing w:after="0" w:line="240" w:lineRule="auto"/>
              <w:jc w:val="both"/>
              <w:rPr>
                <w:rFonts w:eastAsia="Times New Roman" w:cstheme="minorHAnsi"/>
                <w:iCs/>
                <w:sz w:val="24"/>
                <w:szCs w:val="24"/>
              </w:rPr>
            </w:pPr>
            <w:r w:rsidRPr="00F662F8">
              <w:rPr>
                <w:rFonts w:eastAsia="Times New Roman" w:cstheme="minorHAnsi"/>
                <w:iCs/>
                <w:sz w:val="24"/>
                <w:szCs w:val="24"/>
              </w:rPr>
              <w:t>IBM DB2</w:t>
            </w:r>
          </w:p>
        </w:tc>
        <w:tc>
          <w:tcPr>
            <w:tcW w:w="917" w:type="pct"/>
          </w:tcPr>
          <w:p w14:paraId="06291E7C"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tc>
      </w:tr>
      <w:tr w:rsidR="00BA1862" w:rsidRPr="00F662F8" w14:paraId="7E54587B" w14:textId="77777777" w:rsidTr="00916D87">
        <w:tc>
          <w:tcPr>
            <w:tcW w:w="311" w:type="pct"/>
            <w:tcMar>
              <w:top w:w="28" w:type="dxa"/>
              <w:left w:w="108" w:type="dxa"/>
              <w:bottom w:w="57" w:type="dxa"/>
              <w:right w:w="108" w:type="dxa"/>
            </w:tcMar>
          </w:tcPr>
          <w:p w14:paraId="2C4C4B7C"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Pr>
                <w:rFonts w:eastAsia="Times New Roman" w:cstheme="minorHAnsi"/>
                <w:sz w:val="24"/>
                <w:szCs w:val="24"/>
              </w:rPr>
              <w:t>9</w:t>
            </w:r>
            <w:r w:rsidRPr="00F662F8">
              <w:rPr>
                <w:rFonts w:eastAsia="Times New Roman" w:cstheme="minorHAnsi"/>
                <w:sz w:val="24"/>
                <w:szCs w:val="24"/>
              </w:rPr>
              <w:t>.</w:t>
            </w:r>
          </w:p>
        </w:tc>
        <w:tc>
          <w:tcPr>
            <w:tcW w:w="860" w:type="pct"/>
            <w:tcMar>
              <w:top w:w="28" w:type="dxa"/>
              <w:left w:w="108" w:type="dxa"/>
              <w:bottom w:w="57" w:type="dxa"/>
              <w:right w:w="108" w:type="dxa"/>
            </w:tcMar>
          </w:tcPr>
          <w:p w14:paraId="05F89CF5"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
                <w:sz w:val="24"/>
                <w:szCs w:val="24"/>
              </w:rPr>
            </w:pPr>
            <w:r w:rsidRPr="00F662F8">
              <w:rPr>
                <w:rFonts w:eastAsia="Times New Roman" w:cstheme="minorHAnsi"/>
                <w:sz w:val="24"/>
                <w:szCs w:val="24"/>
              </w:rPr>
              <w:t>Tinklo protokolų palaikymas</w:t>
            </w:r>
          </w:p>
        </w:tc>
        <w:tc>
          <w:tcPr>
            <w:tcW w:w="2912" w:type="pct"/>
            <w:tcMar>
              <w:top w:w="28" w:type="dxa"/>
              <w:left w:w="108" w:type="dxa"/>
              <w:bottom w:w="57" w:type="dxa"/>
              <w:right w:w="108" w:type="dxa"/>
            </w:tcMar>
          </w:tcPr>
          <w:p w14:paraId="2DAA0C5E"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
                <w:sz w:val="24"/>
                <w:szCs w:val="24"/>
              </w:rPr>
            </w:pPr>
            <w:r w:rsidRPr="00F662F8">
              <w:rPr>
                <w:rFonts w:eastAsia="Times New Roman" w:cstheme="minorHAnsi"/>
                <w:sz w:val="24"/>
                <w:szCs w:val="24"/>
              </w:rPr>
              <w:t>Įrenginys privalo palaikyti:</w:t>
            </w:r>
          </w:p>
          <w:p w14:paraId="6FA92FD0" w14:textId="77777777" w:rsidR="00BA1862" w:rsidRPr="00F662F8" w:rsidRDefault="00BA1862" w:rsidP="00916D87">
            <w:pPr>
              <w:pStyle w:val="ListParagraph"/>
              <w:numPr>
                <w:ilvl w:val="0"/>
                <w:numId w:val="2"/>
              </w:numPr>
              <w:pBdr>
                <w:top w:val="nil"/>
                <w:left w:val="nil"/>
                <w:bottom w:val="nil"/>
                <w:right w:val="nil"/>
                <w:between w:val="nil"/>
              </w:pBdr>
              <w:spacing w:after="0" w:line="240" w:lineRule="auto"/>
              <w:jc w:val="both"/>
              <w:rPr>
                <w:rFonts w:eastAsia="Times New Roman" w:cstheme="minorHAnsi"/>
                <w:i/>
                <w:sz w:val="24"/>
                <w:szCs w:val="24"/>
              </w:rPr>
            </w:pPr>
            <w:r w:rsidRPr="00F662F8">
              <w:rPr>
                <w:rFonts w:eastAsia="Times New Roman" w:cstheme="minorHAnsi"/>
                <w:sz w:val="24"/>
                <w:szCs w:val="24"/>
              </w:rPr>
              <w:t>NFS v3;</w:t>
            </w:r>
          </w:p>
          <w:p w14:paraId="489C2B35" w14:textId="77777777" w:rsidR="00BA1862" w:rsidRPr="00F662F8" w:rsidRDefault="00BA1862" w:rsidP="00916D87">
            <w:pPr>
              <w:pStyle w:val="ListParagraph"/>
              <w:numPr>
                <w:ilvl w:val="0"/>
                <w:numId w:val="2"/>
              </w:numPr>
              <w:pBdr>
                <w:top w:val="nil"/>
                <w:left w:val="nil"/>
                <w:bottom w:val="nil"/>
                <w:right w:val="nil"/>
                <w:between w:val="nil"/>
              </w:pBdr>
              <w:spacing w:after="0" w:line="240" w:lineRule="auto"/>
              <w:jc w:val="both"/>
              <w:rPr>
                <w:rFonts w:eastAsia="Times New Roman" w:cstheme="minorHAnsi"/>
                <w:i/>
                <w:sz w:val="24"/>
                <w:szCs w:val="24"/>
              </w:rPr>
            </w:pPr>
            <w:r w:rsidRPr="00F662F8">
              <w:rPr>
                <w:rFonts w:eastAsia="Times New Roman" w:cstheme="minorHAnsi"/>
                <w:sz w:val="24"/>
                <w:szCs w:val="24"/>
              </w:rPr>
              <w:t xml:space="preserve">CIFS; </w:t>
            </w:r>
          </w:p>
          <w:p w14:paraId="2A3278C8" w14:textId="77777777" w:rsidR="00BA1862" w:rsidRPr="00F662F8" w:rsidRDefault="00BA1862" w:rsidP="00916D87">
            <w:pPr>
              <w:pStyle w:val="ListParagraph"/>
              <w:numPr>
                <w:ilvl w:val="0"/>
                <w:numId w:val="2"/>
              </w:numPr>
              <w:pBdr>
                <w:top w:val="nil"/>
                <w:left w:val="nil"/>
                <w:bottom w:val="nil"/>
                <w:right w:val="nil"/>
                <w:between w:val="nil"/>
              </w:pBdr>
              <w:spacing w:after="0" w:line="240" w:lineRule="auto"/>
              <w:jc w:val="both"/>
              <w:rPr>
                <w:rFonts w:eastAsia="Times New Roman" w:cstheme="minorHAnsi"/>
                <w:i/>
                <w:sz w:val="24"/>
                <w:szCs w:val="24"/>
              </w:rPr>
            </w:pPr>
            <w:r w:rsidRPr="00F662F8">
              <w:rPr>
                <w:rFonts w:eastAsia="Times New Roman" w:cstheme="minorHAnsi"/>
                <w:sz w:val="24"/>
                <w:szCs w:val="24"/>
              </w:rPr>
              <w:t>VTL</w:t>
            </w:r>
          </w:p>
          <w:p w14:paraId="6D50530A" w14:textId="77777777" w:rsidR="00BA1862" w:rsidRPr="00F662F8" w:rsidRDefault="00BA1862" w:rsidP="00916D87">
            <w:pPr>
              <w:pStyle w:val="ListParagraph"/>
              <w:numPr>
                <w:ilvl w:val="0"/>
                <w:numId w:val="2"/>
              </w:numPr>
              <w:pBdr>
                <w:top w:val="nil"/>
                <w:left w:val="nil"/>
                <w:bottom w:val="nil"/>
                <w:right w:val="nil"/>
                <w:between w:val="nil"/>
              </w:pBdr>
              <w:spacing w:after="0" w:line="240" w:lineRule="auto"/>
              <w:jc w:val="both"/>
              <w:rPr>
                <w:rFonts w:eastAsia="Times New Roman" w:cstheme="minorHAnsi"/>
                <w:iCs/>
                <w:sz w:val="24"/>
                <w:szCs w:val="24"/>
              </w:rPr>
            </w:pPr>
            <w:r w:rsidRPr="00F662F8">
              <w:rPr>
                <w:rFonts w:eastAsia="Times New Roman" w:cstheme="minorHAnsi"/>
                <w:iCs/>
                <w:sz w:val="24"/>
                <w:szCs w:val="24"/>
              </w:rPr>
              <w:t>Fiber Channel</w:t>
            </w:r>
          </w:p>
          <w:p w14:paraId="3D8EA44A" w14:textId="77777777" w:rsidR="00BA1862" w:rsidRPr="00F662F8" w:rsidRDefault="00BA1862" w:rsidP="00916D87">
            <w:pPr>
              <w:pStyle w:val="ListParagraph"/>
              <w:numPr>
                <w:ilvl w:val="0"/>
                <w:numId w:val="2"/>
              </w:numPr>
              <w:pBdr>
                <w:top w:val="nil"/>
                <w:left w:val="nil"/>
                <w:bottom w:val="nil"/>
                <w:right w:val="nil"/>
                <w:between w:val="nil"/>
              </w:pBdr>
              <w:spacing w:after="0" w:line="240" w:lineRule="auto"/>
              <w:jc w:val="both"/>
              <w:rPr>
                <w:rFonts w:eastAsia="Times New Roman" w:cstheme="minorHAnsi"/>
                <w:i/>
                <w:sz w:val="24"/>
                <w:szCs w:val="24"/>
              </w:rPr>
            </w:pPr>
            <w:r w:rsidRPr="00F662F8">
              <w:rPr>
                <w:rFonts w:eastAsia="Times New Roman" w:cstheme="minorHAnsi"/>
                <w:sz w:val="24"/>
                <w:szCs w:val="24"/>
              </w:rPr>
              <w:t xml:space="preserve">Bent vieną duomenų išdubliavimo duomenų šaltinio pusėje protokolą („server side deduplication“); </w:t>
            </w:r>
          </w:p>
        </w:tc>
        <w:tc>
          <w:tcPr>
            <w:tcW w:w="917" w:type="pct"/>
          </w:tcPr>
          <w:p w14:paraId="244175E3"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tc>
      </w:tr>
      <w:tr w:rsidR="00BA1862" w:rsidRPr="00F662F8" w14:paraId="236BFFEF" w14:textId="77777777" w:rsidTr="00916D87">
        <w:tc>
          <w:tcPr>
            <w:tcW w:w="311" w:type="pct"/>
            <w:tcMar>
              <w:top w:w="28" w:type="dxa"/>
              <w:left w:w="108" w:type="dxa"/>
              <w:bottom w:w="57" w:type="dxa"/>
              <w:right w:w="108" w:type="dxa"/>
            </w:tcMar>
          </w:tcPr>
          <w:p w14:paraId="04D370C8"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1</w:t>
            </w:r>
            <w:r>
              <w:rPr>
                <w:rFonts w:eastAsia="Times New Roman" w:cstheme="minorHAnsi"/>
                <w:sz w:val="24"/>
                <w:szCs w:val="24"/>
              </w:rPr>
              <w:t>0</w:t>
            </w:r>
            <w:r w:rsidRPr="00F662F8">
              <w:rPr>
                <w:rFonts w:eastAsia="Times New Roman" w:cstheme="minorHAnsi"/>
                <w:sz w:val="24"/>
                <w:szCs w:val="24"/>
              </w:rPr>
              <w:t>.</w:t>
            </w:r>
          </w:p>
        </w:tc>
        <w:tc>
          <w:tcPr>
            <w:tcW w:w="860" w:type="pct"/>
            <w:tcMar>
              <w:top w:w="28" w:type="dxa"/>
              <w:left w:w="108" w:type="dxa"/>
              <w:bottom w:w="57" w:type="dxa"/>
              <w:right w:w="108" w:type="dxa"/>
            </w:tcMar>
          </w:tcPr>
          <w:p w14:paraId="3E9A5324"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
                <w:sz w:val="24"/>
                <w:szCs w:val="24"/>
              </w:rPr>
            </w:pPr>
            <w:r w:rsidRPr="00F662F8">
              <w:rPr>
                <w:rFonts w:eastAsia="Times New Roman" w:cstheme="minorHAnsi"/>
                <w:sz w:val="24"/>
                <w:szCs w:val="24"/>
              </w:rPr>
              <w:t>Saugumo ir patikimumo reikalavimai</w:t>
            </w:r>
          </w:p>
        </w:tc>
        <w:tc>
          <w:tcPr>
            <w:tcW w:w="2912" w:type="pct"/>
            <w:tcMar>
              <w:top w:w="28" w:type="dxa"/>
              <w:left w:w="108" w:type="dxa"/>
              <w:bottom w:w="57" w:type="dxa"/>
              <w:right w:w="108" w:type="dxa"/>
            </w:tcMar>
          </w:tcPr>
          <w:p w14:paraId="4174658B"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2842B0">
              <w:rPr>
                <w:rFonts w:eastAsia="Times New Roman" w:cstheme="minorHAnsi"/>
                <w:sz w:val="24"/>
                <w:szCs w:val="24"/>
              </w:rPr>
              <w:t>Turi būti galimybė šifruoti saugomus duomenis</w:t>
            </w:r>
            <w:r>
              <w:rPr>
                <w:rFonts w:eastAsia="Times New Roman" w:cstheme="minorHAnsi"/>
                <w:sz w:val="24"/>
                <w:szCs w:val="24"/>
              </w:rPr>
              <w:t xml:space="preserve"> tiek įrenginyje, tiek replikavimo proceso duomenų perdavimo metu</w:t>
            </w:r>
            <w:r w:rsidRPr="002842B0">
              <w:rPr>
                <w:rFonts w:eastAsia="Times New Roman" w:cstheme="minorHAnsi"/>
                <w:sz w:val="24"/>
                <w:szCs w:val="24"/>
              </w:rPr>
              <w:t xml:space="preserve">, turi būti </w:t>
            </w:r>
            <w:r w:rsidRPr="002842B0">
              <w:rPr>
                <w:rFonts w:eastAsia="Times New Roman" w:cstheme="minorHAnsi"/>
                <w:sz w:val="24"/>
                <w:szCs w:val="24"/>
              </w:rPr>
              <w:lastRenderedPageBreak/>
              <w:t>visos reikalingos licencijos reikalaujamam funkcionalumui užtikrinti visai įrenginio talpai.</w:t>
            </w:r>
          </w:p>
        </w:tc>
        <w:tc>
          <w:tcPr>
            <w:tcW w:w="917" w:type="pct"/>
          </w:tcPr>
          <w:p w14:paraId="29685AB1"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tc>
      </w:tr>
      <w:tr w:rsidR="00BA1862" w:rsidRPr="00F662F8" w14:paraId="46DF3A19" w14:textId="77777777" w:rsidTr="00916D87">
        <w:tc>
          <w:tcPr>
            <w:tcW w:w="311" w:type="pct"/>
            <w:tcMar>
              <w:top w:w="28" w:type="dxa"/>
              <w:left w:w="108" w:type="dxa"/>
              <w:bottom w:w="57" w:type="dxa"/>
              <w:right w:w="108" w:type="dxa"/>
            </w:tcMar>
          </w:tcPr>
          <w:p w14:paraId="0146402E"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1</w:t>
            </w:r>
            <w:r>
              <w:rPr>
                <w:rFonts w:eastAsia="Times New Roman" w:cstheme="minorHAnsi"/>
                <w:sz w:val="24"/>
                <w:szCs w:val="24"/>
              </w:rPr>
              <w:t>1</w:t>
            </w:r>
            <w:r w:rsidRPr="00F662F8">
              <w:rPr>
                <w:rFonts w:eastAsia="Times New Roman" w:cstheme="minorHAnsi"/>
                <w:sz w:val="24"/>
                <w:szCs w:val="24"/>
              </w:rPr>
              <w:t>.</w:t>
            </w:r>
          </w:p>
        </w:tc>
        <w:tc>
          <w:tcPr>
            <w:tcW w:w="860" w:type="pct"/>
            <w:tcMar>
              <w:top w:w="28" w:type="dxa"/>
              <w:left w:w="108" w:type="dxa"/>
              <w:bottom w:w="57" w:type="dxa"/>
              <w:right w:w="108" w:type="dxa"/>
            </w:tcMar>
          </w:tcPr>
          <w:p w14:paraId="7F18DBB4"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Kiberapsaugos funkcionalumas</w:t>
            </w:r>
          </w:p>
        </w:tc>
        <w:tc>
          <w:tcPr>
            <w:tcW w:w="2912" w:type="pct"/>
            <w:tcMar>
              <w:top w:w="28" w:type="dxa"/>
              <w:left w:w="108" w:type="dxa"/>
              <w:bottom w:w="57" w:type="dxa"/>
              <w:right w:w="108" w:type="dxa"/>
            </w:tcMar>
          </w:tcPr>
          <w:p w14:paraId="77B19507"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Cs/>
                <w:sz w:val="24"/>
                <w:szCs w:val="24"/>
              </w:rPr>
            </w:pPr>
            <w:r w:rsidRPr="00F662F8">
              <w:rPr>
                <w:rFonts w:eastAsia="Times New Roman" w:cstheme="minorHAnsi"/>
                <w:iCs/>
                <w:sz w:val="24"/>
                <w:szCs w:val="24"/>
              </w:rPr>
              <w:t>Įrenginys turi veikti pilnai logiškai nuo rezervinio kopijavimo tinklo izoliuotoje (angl. „</w:t>
            </w:r>
            <w:r w:rsidRPr="00F662F8">
              <w:rPr>
                <w:rFonts w:eastAsia="Times New Roman" w:cstheme="minorHAnsi"/>
                <w:i/>
                <w:sz w:val="24"/>
                <w:szCs w:val="24"/>
              </w:rPr>
              <w:t>air-gapped</w:t>
            </w:r>
            <w:r w:rsidRPr="00F662F8">
              <w:rPr>
                <w:rFonts w:eastAsia="Times New Roman" w:cstheme="minorHAnsi"/>
                <w:iCs/>
                <w:sz w:val="24"/>
                <w:szCs w:val="24"/>
              </w:rPr>
              <w:t xml:space="preserve">“) būsenoje pagal įrangos gamintojo sukurtą technologiją apsaugai nuo „ransomware“, kai rezervinės kopijos į įrenginį perkeliamos tiesiogiai replikuojant iš analogiško įrenginio tik nustatytu laiku nuo duomenų tinklo atskirtu tinklu. </w:t>
            </w:r>
          </w:p>
        </w:tc>
        <w:tc>
          <w:tcPr>
            <w:tcW w:w="917" w:type="pct"/>
          </w:tcPr>
          <w:p w14:paraId="72AF3709"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Cs/>
                <w:sz w:val="24"/>
                <w:szCs w:val="24"/>
              </w:rPr>
            </w:pPr>
          </w:p>
        </w:tc>
      </w:tr>
      <w:tr w:rsidR="00BA1862" w:rsidRPr="00F662F8" w14:paraId="5674502A" w14:textId="77777777" w:rsidTr="00916D87">
        <w:tc>
          <w:tcPr>
            <w:tcW w:w="311" w:type="pct"/>
            <w:tcMar>
              <w:top w:w="28" w:type="dxa"/>
              <w:left w:w="108" w:type="dxa"/>
              <w:bottom w:w="57" w:type="dxa"/>
              <w:right w:w="108" w:type="dxa"/>
            </w:tcMar>
          </w:tcPr>
          <w:p w14:paraId="7CC4A539"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Pr>
                <w:rFonts w:eastAsia="Times New Roman" w:cstheme="minorHAnsi"/>
                <w:sz w:val="24"/>
                <w:szCs w:val="24"/>
              </w:rPr>
              <w:t>12</w:t>
            </w:r>
            <w:r w:rsidRPr="00F662F8">
              <w:rPr>
                <w:rFonts w:eastAsia="Times New Roman" w:cstheme="minorHAnsi"/>
                <w:sz w:val="24"/>
                <w:szCs w:val="24"/>
              </w:rPr>
              <w:t>.</w:t>
            </w:r>
          </w:p>
        </w:tc>
        <w:tc>
          <w:tcPr>
            <w:tcW w:w="860" w:type="pct"/>
            <w:tcMar>
              <w:top w:w="28" w:type="dxa"/>
              <w:left w:w="108" w:type="dxa"/>
              <w:bottom w:w="57" w:type="dxa"/>
              <w:right w:w="108" w:type="dxa"/>
            </w:tcMar>
          </w:tcPr>
          <w:p w14:paraId="1F037B3D"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
                <w:sz w:val="24"/>
                <w:szCs w:val="24"/>
              </w:rPr>
            </w:pPr>
            <w:r w:rsidRPr="00F662F8">
              <w:rPr>
                <w:rFonts w:eastAsia="Times New Roman" w:cstheme="minorHAnsi"/>
                <w:sz w:val="24"/>
                <w:szCs w:val="24"/>
              </w:rPr>
              <w:t>Papildomas funkcionalumas</w:t>
            </w:r>
          </w:p>
        </w:tc>
        <w:tc>
          <w:tcPr>
            <w:tcW w:w="2912" w:type="pct"/>
            <w:tcMar>
              <w:top w:w="28" w:type="dxa"/>
              <w:left w:w="108" w:type="dxa"/>
              <w:bottom w:w="57" w:type="dxa"/>
              <w:right w:w="108" w:type="dxa"/>
            </w:tcMar>
          </w:tcPr>
          <w:p w14:paraId="639B8CA1"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
                <w:sz w:val="24"/>
                <w:szCs w:val="24"/>
              </w:rPr>
            </w:pPr>
            <w:r w:rsidRPr="00F662F8">
              <w:rPr>
                <w:rFonts w:eastAsia="Times New Roman" w:cstheme="minorHAnsi"/>
                <w:sz w:val="24"/>
                <w:szCs w:val="24"/>
              </w:rPr>
              <w:t xml:space="preserve">Reikalaujamos licencijos, reikalingos įrenginio replikavimui su analogišku fiziniu ar virtualiu įrenginiu visai teorinei įrenginio talpai. </w:t>
            </w:r>
          </w:p>
          <w:p w14:paraId="616EE28A"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
                <w:sz w:val="24"/>
                <w:szCs w:val="24"/>
              </w:rPr>
            </w:pPr>
          </w:p>
          <w:p w14:paraId="75F5B11B"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Cs/>
                <w:sz w:val="24"/>
                <w:szCs w:val="24"/>
              </w:rPr>
            </w:pPr>
            <w:r w:rsidRPr="00F662F8">
              <w:rPr>
                <w:rFonts w:eastAsia="Times New Roman" w:cstheme="minorHAnsi"/>
                <w:iCs/>
                <w:sz w:val="24"/>
                <w:szCs w:val="24"/>
              </w:rPr>
              <w:t xml:space="preserve">Galimybė ir licencijos „užrakinti“ saugomas duomenų kopijas administratorių nustatytam laikui kopijų ištrynimui ar pakeitimui, be galimybės atšaukti nustatymą (angl. </w:t>
            </w:r>
            <w:r w:rsidRPr="00F662F8">
              <w:rPr>
                <w:rFonts w:eastAsia="Times New Roman" w:cstheme="minorHAnsi"/>
                <w:i/>
                <w:sz w:val="24"/>
                <w:szCs w:val="24"/>
              </w:rPr>
              <w:t>„retention lock“</w:t>
            </w:r>
            <w:r w:rsidRPr="00F662F8">
              <w:rPr>
                <w:rFonts w:eastAsia="Times New Roman" w:cstheme="minorHAnsi"/>
                <w:iCs/>
                <w:sz w:val="24"/>
                <w:szCs w:val="24"/>
              </w:rPr>
              <w:t xml:space="preserve">) visai įrenginio talpai. </w:t>
            </w:r>
          </w:p>
          <w:p w14:paraId="6D984501"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
                <w:sz w:val="24"/>
                <w:szCs w:val="24"/>
              </w:rPr>
            </w:pPr>
          </w:p>
          <w:p w14:paraId="059C1C4C"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
                <w:sz w:val="24"/>
                <w:szCs w:val="24"/>
              </w:rPr>
            </w:pPr>
            <w:r w:rsidRPr="00F662F8">
              <w:rPr>
                <w:rFonts w:eastAsia="Times New Roman" w:cstheme="minorHAnsi"/>
                <w:sz w:val="24"/>
                <w:szCs w:val="24"/>
              </w:rPr>
              <w:t xml:space="preserve">Turi būti galimybė papildomai įsigyti ir naudoti virtualizuotą sistemos versiją (VMware vSphere arba Microsoft Hyper-V virtualioje mašinoje), kuri gali būti plečiama iki ne mažiau kaip </w:t>
            </w:r>
            <w:r>
              <w:rPr>
                <w:rFonts w:eastAsia="Times New Roman" w:cstheme="minorHAnsi"/>
                <w:sz w:val="24"/>
                <w:szCs w:val="24"/>
              </w:rPr>
              <w:t>256</w:t>
            </w:r>
            <w:r w:rsidRPr="00F662F8">
              <w:rPr>
                <w:rFonts w:eastAsia="Times New Roman" w:cstheme="minorHAnsi"/>
                <w:sz w:val="24"/>
                <w:szCs w:val="24"/>
              </w:rPr>
              <w:t xml:space="preserve"> TB naudingos vietos. Turi būti galimybė šioje virtualioje saugykloje saugomus duomenis automatiškai perkelti į ne mažiau kaip trijų pasaulinių debesijos paslaugų teikėjų diskinę erdvę. Virtuali rezervinio kopijavimo įranga turi turėti tokį patį funkcionalumą kaip ir aparatinė įranga. </w:t>
            </w:r>
          </w:p>
          <w:p w14:paraId="50F6367F"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
                <w:sz w:val="24"/>
                <w:szCs w:val="24"/>
              </w:rPr>
            </w:pPr>
          </w:p>
          <w:p w14:paraId="10958A65"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Rezervinio kopijavimo duomenų saugykla privalo palaikyti spartų virtualių mašinų rezervinių kopijų atstatymą (kaip „Veeam Instant Recovery“) VMware aplinkoje, t. y. virtualios mašinos yra paleidžiamos rezervinio kopijavimo įrenginyje ir jau veikiančios perkeliamos („vSphere Storage vMotion“) į pagrindinę duomenų saugyklą.</w:t>
            </w:r>
          </w:p>
          <w:p w14:paraId="53EAF984"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
                <w:sz w:val="24"/>
                <w:szCs w:val="24"/>
              </w:rPr>
            </w:pPr>
          </w:p>
          <w:p w14:paraId="787318F6"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iCs/>
                <w:sz w:val="24"/>
                <w:szCs w:val="24"/>
              </w:rPr>
            </w:pPr>
            <w:r w:rsidRPr="00F662F8">
              <w:rPr>
                <w:rFonts w:eastAsia="Times New Roman" w:cstheme="minorHAnsi"/>
                <w:iCs/>
                <w:sz w:val="24"/>
                <w:szCs w:val="24"/>
              </w:rPr>
              <w:t>Siūlomas įrenginys turi replikuotis su turimu Dell DD6300 įrenginiu saugyklos lygmenyje.</w:t>
            </w:r>
          </w:p>
        </w:tc>
        <w:tc>
          <w:tcPr>
            <w:tcW w:w="917" w:type="pct"/>
          </w:tcPr>
          <w:p w14:paraId="729197AA"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tc>
      </w:tr>
      <w:tr w:rsidR="00BA1862" w:rsidRPr="00F662F8" w14:paraId="79ECE11C" w14:textId="77777777" w:rsidTr="00916D87">
        <w:tc>
          <w:tcPr>
            <w:tcW w:w="311" w:type="pct"/>
            <w:tcMar>
              <w:top w:w="28" w:type="dxa"/>
              <w:left w:w="108" w:type="dxa"/>
              <w:bottom w:w="57" w:type="dxa"/>
              <w:right w:w="108" w:type="dxa"/>
            </w:tcMar>
          </w:tcPr>
          <w:p w14:paraId="47343B64"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Pr>
                <w:rFonts w:eastAsia="Times New Roman" w:cstheme="minorHAnsi"/>
                <w:sz w:val="24"/>
                <w:szCs w:val="24"/>
              </w:rPr>
              <w:t>13</w:t>
            </w:r>
            <w:r w:rsidRPr="00F662F8">
              <w:rPr>
                <w:rFonts w:eastAsia="Times New Roman" w:cstheme="minorHAnsi"/>
                <w:sz w:val="24"/>
                <w:szCs w:val="24"/>
              </w:rPr>
              <w:t>.</w:t>
            </w:r>
          </w:p>
        </w:tc>
        <w:tc>
          <w:tcPr>
            <w:tcW w:w="860" w:type="pct"/>
            <w:tcMar>
              <w:top w:w="28" w:type="dxa"/>
              <w:left w:w="108" w:type="dxa"/>
              <w:bottom w:w="57" w:type="dxa"/>
              <w:right w:w="108" w:type="dxa"/>
            </w:tcMar>
          </w:tcPr>
          <w:p w14:paraId="39D746E4"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tc>
        <w:tc>
          <w:tcPr>
            <w:tcW w:w="2912" w:type="pct"/>
            <w:tcMar>
              <w:top w:w="28" w:type="dxa"/>
              <w:left w:w="108" w:type="dxa"/>
              <w:bottom w:w="57" w:type="dxa"/>
              <w:right w:w="108" w:type="dxa"/>
            </w:tcMar>
          </w:tcPr>
          <w:p w14:paraId="12C77152"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 xml:space="preserve">Turi būti pateikta stebėjimo (monitoringo)  programinė įranga,  įgalinanti atlikti nuolatinį  įrangos parametrų stebėjimą, kaupti istorinę veiklos duomenų statistiką ne mažiau kaip 2 metus ir atlikti jų analizę. </w:t>
            </w:r>
          </w:p>
          <w:p w14:paraId="08531E20"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 xml:space="preserve">Duomenys turi būti pateikiami grafiškai, įvairiais pjūviais (pagal laiko periodą, įrangos elementus). Turi būti pateikta pilnaverčiam (maksimaliai detaliam) ilgalaikiam (iki 2 metų) statistinių duomenų saugojimui reikalinga diskinė talpa ir veiklai reikalingi virtualizuoti resursai, kuri nebūtų įskaičiuojama į tarnybinių stočių naudingą talpą (arba istorinė informacija ne mažiau 2 metus turi būti saugoma gamintojo debesijos resursuose be papildomo mokesčio). </w:t>
            </w:r>
          </w:p>
          <w:p w14:paraId="77B7621A"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lastRenderedPageBreak/>
              <w:t xml:space="preserve">Stebėjimo ir analizės duomenys turi būti matomi ir pakeitimai atliekami tiek interneto naršyklėje, tiek ir specializuotoje programėlėje mobiliuose įrenginiuose (veikiančiuose iOS bei Android operacinėje sistemose). </w:t>
            </w:r>
          </w:p>
          <w:p w14:paraId="513B6D4A"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p w14:paraId="6FDC94CF"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Įrenginys turi informuoti valdymo sąsajoje bei el. paštu apie standžiųjų diskų, valdiklių, maitinimo šaltinių gedimus, kitus sutrikimus ir nukrypimus nuo normalaus darbo.</w:t>
            </w:r>
          </w:p>
          <w:p w14:paraId="7C45BCBC"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p w14:paraId="1A667C19"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 xml:space="preserve">Stebėjimo (monitoringo) programinė įranga turi palaikyti visą gamintojo aparatinę įrangą - įskaitant ir neapsiribojant – tarnybines stotis, saugyklas, rezervinio kopijavimo įrangą, SAN bei LAN komutatorius. </w:t>
            </w:r>
          </w:p>
          <w:p w14:paraId="68B39209"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p w14:paraId="4BF663FF"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tc>
        <w:tc>
          <w:tcPr>
            <w:tcW w:w="917" w:type="pct"/>
          </w:tcPr>
          <w:p w14:paraId="466709B9"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tc>
      </w:tr>
      <w:tr w:rsidR="00BA1862" w:rsidRPr="00F662F8" w14:paraId="12817477" w14:textId="77777777" w:rsidTr="00916D87">
        <w:tc>
          <w:tcPr>
            <w:tcW w:w="311" w:type="pct"/>
            <w:tcMar>
              <w:top w:w="28" w:type="dxa"/>
              <w:left w:w="108" w:type="dxa"/>
              <w:bottom w:w="57" w:type="dxa"/>
              <w:right w:w="108" w:type="dxa"/>
            </w:tcMar>
          </w:tcPr>
          <w:p w14:paraId="0F84E663"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Pr>
                <w:rFonts w:eastAsia="Times New Roman" w:cstheme="minorHAnsi"/>
                <w:sz w:val="24"/>
                <w:szCs w:val="24"/>
              </w:rPr>
              <w:t>14</w:t>
            </w:r>
            <w:r w:rsidRPr="00F662F8">
              <w:rPr>
                <w:rFonts w:eastAsia="Times New Roman" w:cstheme="minorHAnsi"/>
                <w:sz w:val="24"/>
                <w:szCs w:val="24"/>
              </w:rPr>
              <w:t>.</w:t>
            </w:r>
          </w:p>
        </w:tc>
        <w:tc>
          <w:tcPr>
            <w:tcW w:w="860" w:type="pct"/>
            <w:tcMar>
              <w:top w:w="28" w:type="dxa"/>
              <w:left w:w="108" w:type="dxa"/>
              <w:bottom w:w="57" w:type="dxa"/>
              <w:right w:w="108" w:type="dxa"/>
            </w:tcMar>
          </w:tcPr>
          <w:p w14:paraId="78871723"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Garantinės ir techninės pagalbos sutartis</w:t>
            </w:r>
          </w:p>
        </w:tc>
        <w:tc>
          <w:tcPr>
            <w:tcW w:w="2912" w:type="pct"/>
            <w:tcMar>
              <w:top w:w="28" w:type="dxa"/>
              <w:left w:w="108" w:type="dxa"/>
              <w:bottom w:w="57" w:type="dxa"/>
              <w:right w:w="108" w:type="dxa"/>
            </w:tcMar>
          </w:tcPr>
          <w:p w14:paraId="718F9C3D" w14:textId="77777777" w:rsidR="00BA1862" w:rsidRPr="002842B0"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2842B0">
              <w:rPr>
                <w:rFonts w:eastAsia="Times New Roman" w:cstheme="minorHAnsi"/>
                <w:sz w:val="24"/>
                <w:szCs w:val="24"/>
              </w:rPr>
              <w:t xml:space="preserve">Siūlomam sprendimui ir visai pateikiamai aparatinei ir programinei įrangai turi būti suteikiamos įrangos gamintojo garantinės ir techninės pagalbos paslaugos </w:t>
            </w:r>
            <w:r>
              <w:rPr>
                <w:rFonts w:eastAsia="Times New Roman" w:cstheme="minorHAnsi"/>
                <w:sz w:val="24"/>
                <w:szCs w:val="24"/>
              </w:rPr>
              <w:t>penkiems</w:t>
            </w:r>
            <w:r w:rsidRPr="002842B0">
              <w:rPr>
                <w:rFonts w:eastAsia="Times New Roman" w:cstheme="minorHAnsi"/>
                <w:sz w:val="24"/>
                <w:szCs w:val="24"/>
              </w:rPr>
              <w:t xml:space="preserve"> (</w:t>
            </w:r>
            <w:r>
              <w:rPr>
                <w:rFonts w:eastAsia="Times New Roman" w:cstheme="minorHAnsi"/>
                <w:sz w:val="24"/>
                <w:szCs w:val="24"/>
              </w:rPr>
              <w:t>5</w:t>
            </w:r>
            <w:r w:rsidRPr="002842B0">
              <w:rPr>
                <w:rFonts w:eastAsia="Times New Roman" w:cstheme="minorHAnsi"/>
                <w:sz w:val="24"/>
                <w:szCs w:val="24"/>
              </w:rPr>
              <w:t xml:space="preserve">) metams nuo įrangos pristatymo perkančiajai organizacijai. Turi būti galimybė </w:t>
            </w:r>
            <w:r>
              <w:rPr>
                <w:rFonts w:eastAsia="Times New Roman" w:cstheme="minorHAnsi"/>
                <w:sz w:val="24"/>
                <w:szCs w:val="24"/>
              </w:rPr>
              <w:t xml:space="preserve">išplėsti </w:t>
            </w:r>
            <w:r w:rsidRPr="002842B0">
              <w:rPr>
                <w:rFonts w:eastAsia="Times New Roman" w:cstheme="minorHAnsi"/>
                <w:sz w:val="24"/>
                <w:szCs w:val="24"/>
              </w:rPr>
              <w:t xml:space="preserve">techninės pagalbos paslaugą </w:t>
            </w:r>
            <w:r>
              <w:rPr>
                <w:rFonts w:eastAsia="Times New Roman" w:cstheme="minorHAnsi"/>
                <w:sz w:val="24"/>
                <w:szCs w:val="24"/>
              </w:rPr>
              <w:t xml:space="preserve">iki </w:t>
            </w:r>
            <w:r w:rsidRPr="002842B0">
              <w:rPr>
                <w:rFonts w:eastAsia="Times New Roman" w:cstheme="minorHAnsi"/>
                <w:sz w:val="24"/>
                <w:szCs w:val="24"/>
              </w:rPr>
              <w:t>7 met</w:t>
            </w:r>
            <w:r>
              <w:rPr>
                <w:rFonts w:eastAsia="Times New Roman" w:cstheme="minorHAnsi"/>
                <w:sz w:val="24"/>
                <w:szCs w:val="24"/>
              </w:rPr>
              <w:t>ų.</w:t>
            </w:r>
          </w:p>
          <w:p w14:paraId="2D69BA2F"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p w14:paraId="4C1877D0"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Gedimų registravimas 7 dienas per savaitę, 24 valandas per parą, įskaitant ir šventines dienas. Jei problemos nepavyksta išspręsti nuotoliniu būdu, gamintojo serviso centro specialistas ir keitimui reikalingi komponentai kritiniams sutrikimams šalinti turi atvykti į įrangos buvimo vietą ne vėliau kaip kitą darbo dieną.</w:t>
            </w:r>
          </w:p>
          <w:p w14:paraId="61B93F20"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p w14:paraId="1AB7A34A"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Gamintojo garantuojamas nemokamas dalių tiekimas ir nemokami remonto darbai procesorių, atminties, diskų, maitinimo šaltinių, aušinimo modulių pakeitimas, jei įvyko išankstinis įspėjimas apie galimą jų gedimą (angl. „prefailure warranty“).</w:t>
            </w:r>
          </w:p>
          <w:p w14:paraId="1200209B"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p w14:paraId="29EFA22B"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Visų įsigyjamų komponentų garantinei ir techninei priežiūrai, visiems sprendimo komponentams (aparatinei ir programinei įrangai pateikiamai su šiuo sprendimu) sutrikimai ir gedimai registruojami tiesiogiai vieningoje telkinio gamintojo pagalbos tarnyboje (telefonu, elektroniniu paštu, internetinėje sistemoje).</w:t>
            </w:r>
          </w:p>
          <w:p w14:paraId="692D0683"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p w14:paraId="7F5FC6F2"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Visai sprendime naudojamos programinės ir techninės įrangos priežiūrai turi būti taikomas „vieno langelio principas“  –  visiems sprendimo komponentams (aparatinei ir programinei įrangai šiame pasiūlyme), sutrikimai ir gedimai registruojami tiesiogiai įrangos gamintojo pagalbos tarnyboje, sprendžiami to paties gamintojo inžinierių.</w:t>
            </w:r>
          </w:p>
          <w:p w14:paraId="18603FAE"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p w14:paraId="3F77C32A"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lastRenderedPageBreak/>
              <w:t xml:space="preserve">Gamintojo pagalbos tarnyba turi turėti paslaugą (be papildomo apmokėjimo) – rinkti (gauti) įrangos veiklos ataskaitas tiesiogiai automatiškai saugiu šifruotu dvipusiu interneto kanalu, įskaitant greitaveikos, veiklos duomenis (analizuoti, stebėti, kaupti veiklos duomenis), bei jungtis prie stebimos sistemos problemos sprendimui. Nesant tokios paslaugos galimybei – visa įranga turi būti pasiūlyta su paslaugos lygiu, užtikrinančiu sugedusių mazgų pakeitimą per 2 valandas bet kurią metų dieną (24/7). </w:t>
            </w:r>
          </w:p>
          <w:p w14:paraId="7086EAA3"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p w14:paraId="02E45AE4"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Visi aukščiau išvardinti šio punkto reikalavimai privalo būti garantuojami vieno gamintojo bei teikiami centralizuotai.</w:t>
            </w:r>
          </w:p>
          <w:p w14:paraId="0D7F910E"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p w14:paraId="71EC90B7"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Programinei įrangai, kuri yra sudedamoji  sprendimo dalis, esant galiojančiai techninės pagalbos ir programinės įrangos versijų naujumo (angl. „software maintenance“)_ sutarčiai - turi būti galimybė naudoti naujausias versijas be papildomo pirkimo.</w:t>
            </w:r>
          </w:p>
          <w:p w14:paraId="1B78AA07"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 xml:space="preserve"> </w:t>
            </w:r>
          </w:p>
          <w:p w14:paraId="7F1F9798"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r w:rsidRPr="00F662F8">
              <w:rPr>
                <w:rFonts w:eastAsia="Times New Roman" w:cstheme="minorHAnsi"/>
                <w:sz w:val="24"/>
                <w:szCs w:val="24"/>
              </w:rPr>
              <w:t>Būtina pateikti nuorodą į gamintojo internetinę svetainę, kuri įgalina registruotus vartotojus serijinio numerio pagalba patikrinti suteiktą gamintojo garantiją.</w:t>
            </w:r>
          </w:p>
        </w:tc>
        <w:tc>
          <w:tcPr>
            <w:tcW w:w="917" w:type="pct"/>
          </w:tcPr>
          <w:p w14:paraId="7A07A63D" w14:textId="77777777" w:rsidR="00BA1862" w:rsidRPr="00F662F8" w:rsidRDefault="00BA1862" w:rsidP="00916D87">
            <w:pPr>
              <w:pBdr>
                <w:top w:val="nil"/>
                <w:left w:val="nil"/>
                <w:bottom w:val="nil"/>
                <w:right w:val="nil"/>
                <w:between w:val="nil"/>
              </w:pBdr>
              <w:spacing w:after="0" w:line="240" w:lineRule="auto"/>
              <w:jc w:val="both"/>
              <w:rPr>
                <w:rFonts w:eastAsia="Times New Roman" w:cstheme="minorHAnsi"/>
                <w:sz w:val="24"/>
                <w:szCs w:val="24"/>
              </w:rPr>
            </w:pPr>
          </w:p>
        </w:tc>
      </w:tr>
    </w:tbl>
    <w:p w14:paraId="0B5DA7EA" w14:textId="77777777" w:rsidR="00BA1862" w:rsidRPr="00F662F8" w:rsidRDefault="00BA1862" w:rsidP="00BA1862">
      <w:pPr>
        <w:rPr>
          <w:rFonts w:cstheme="minorHAnsi"/>
          <w:b/>
          <w:bCs/>
          <w:sz w:val="24"/>
          <w:szCs w:val="24"/>
        </w:rPr>
      </w:pPr>
    </w:p>
    <w:p w14:paraId="71F13C94" w14:textId="7BFE9E17" w:rsidR="00BA1862" w:rsidRPr="00F662F8" w:rsidRDefault="00BD1D9D" w:rsidP="00BA1862">
      <w:pPr>
        <w:rPr>
          <w:rFonts w:cstheme="minorHAnsi"/>
          <w:b/>
          <w:bCs/>
          <w:sz w:val="24"/>
          <w:szCs w:val="24"/>
        </w:rPr>
      </w:pPr>
      <w:r>
        <w:rPr>
          <w:rFonts w:cstheme="minorHAnsi"/>
          <w:b/>
          <w:bCs/>
          <w:sz w:val="24"/>
          <w:szCs w:val="24"/>
        </w:rPr>
        <w:t>2</w:t>
      </w:r>
      <w:r w:rsidR="00BA1862" w:rsidRPr="00F662F8">
        <w:rPr>
          <w:rFonts w:cstheme="minorHAnsi"/>
          <w:b/>
          <w:bCs/>
          <w:sz w:val="24"/>
          <w:szCs w:val="24"/>
        </w:rPr>
        <w:t>. Tarnybinė stotis perduodamų duomenų ir turinio valdymui</w:t>
      </w:r>
    </w:p>
    <w:tbl>
      <w:tblPr>
        <w:tblW w:w="10485" w:type="dxa"/>
        <w:tblLook w:val="04A0" w:firstRow="1" w:lastRow="0" w:firstColumn="1" w:lastColumn="0" w:noHBand="0" w:noVBand="1"/>
      </w:tblPr>
      <w:tblGrid>
        <w:gridCol w:w="734"/>
        <w:gridCol w:w="1809"/>
        <w:gridCol w:w="6243"/>
        <w:gridCol w:w="1699"/>
      </w:tblGrid>
      <w:tr w:rsidR="00BA1862" w:rsidRPr="00F662F8" w14:paraId="04B7BD4E" w14:textId="77777777" w:rsidTr="00916D87">
        <w:trPr>
          <w:trHeight w:val="300"/>
        </w:trPr>
        <w:tc>
          <w:tcPr>
            <w:tcW w:w="73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EADFCE4"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b/>
                <w:sz w:val="24"/>
                <w:szCs w:val="24"/>
              </w:rPr>
              <w:t>Eil. Nr.</w:t>
            </w:r>
          </w:p>
        </w:tc>
        <w:tc>
          <w:tcPr>
            <w:tcW w:w="1809" w:type="dxa"/>
            <w:tcBorders>
              <w:top w:val="single" w:sz="4" w:space="0" w:color="auto"/>
              <w:left w:val="nil"/>
              <w:bottom w:val="single" w:sz="4" w:space="0" w:color="auto"/>
              <w:right w:val="single" w:sz="4" w:space="0" w:color="auto"/>
            </w:tcBorders>
            <w:shd w:val="clear" w:color="000000" w:fill="D9D9D9"/>
            <w:vAlign w:val="center"/>
            <w:hideMark/>
          </w:tcPr>
          <w:p w14:paraId="03CB8BE0" w14:textId="77777777" w:rsidR="00BA1862" w:rsidRPr="00F662F8" w:rsidRDefault="00BA1862" w:rsidP="00BD1D9D">
            <w:pPr>
              <w:pBdr>
                <w:top w:val="nil"/>
                <w:left w:val="nil"/>
                <w:bottom w:val="nil"/>
                <w:right w:val="nil"/>
                <w:between w:val="nil"/>
              </w:pBdr>
              <w:spacing w:after="0" w:line="240" w:lineRule="auto"/>
              <w:rPr>
                <w:rFonts w:eastAsia="Times New Roman" w:cstheme="minorHAnsi"/>
                <w:b/>
                <w:i/>
                <w:sz w:val="24"/>
                <w:szCs w:val="24"/>
              </w:rPr>
            </w:pPr>
            <w:r w:rsidRPr="00F662F8">
              <w:rPr>
                <w:rFonts w:eastAsia="Times New Roman" w:cstheme="minorHAnsi"/>
                <w:b/>
                <w:sz w:val="24"/>
                <w:szCs w:val="24"/>
              </w:rPr>
              <w:t>Komponento charakteristikos</w:t>
            </w:r>
          </w:p>
          <w:p w14:paraId="32C1CA12"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b/>
                <w:sz w:val="24"/>
                <w:szCs w:val="24"/>
              </w:rPr>
              <w:t>pavadinimas</w:t>
            </w:r>
          </w:p>
        </w:tc>
        <w:tc>
          <w:tcPr>
            <w:tcW w:w="6243" w:type="dxa"/>
            <w:tcBorders>
              <w:top w:val="single" w:sz="4" w:space="0" w:color="auto"/>
              <w:left w:val="nil"/>
              <w:bottom w:val="single" w:sz="4" w:space="0" w:color="auto"/>
              <w:right w:val="single" w:sz="4" w:space="0" w:color="auto"/>
            </w:tcBorders>
            <w:shd w:val="clear" w:color="000000" w:fill="D9D9D9"/>
            <w:vAlign w:val="center"/>
            <w:hideMark/>
          </w:tcPr>
          <w:p w14:paraId="4F71E922" w14:textId="77777777" w:rsidR="00BA1862" w:rsidRPr="00F662F8" w:rsidRDefault="00BA1862" w:rsidP="00916D87">
            <w:pPr>
              <w:spacing w:after="0" w:line="240" w:lineRule="auto"/>
              <w:jc w:val="center"/>
              <w:rPr>
                <w:rFonts w:eastAsia="Times New Roman" w:cstheme="minorHAnsi"/>
                <w:color w:val="000000"/>
                <w:sz w:val="24"/>
                <w:szCs w:val="24"/>
                <w:lang w:eastAsia="lt-LT"/>
              </w:rPr>
            </w:pPr>
            <w:r w:rsidRPr="00F662F8">
              <w:rPr>
                <w:rFonts w:eastAsia="Times New Roman" w:cstheme="minorHAnsi"/>
                <w:b/>
                <w:sz w:val="24"/>
                <w:szCs w:val="24"/>
              </w:rPr>
              <w:t>Reikalaujama charakteristika</w:t>
            </w:r>
          </w:p>
        </w:tc>
        <w:tc>
          <w:tcPr>
            <w:tcW w:w="1699" w:type="dxa"/>
            <w:tcBorders>
              <w:top w:val="single" w:sz="4" w:space="0" w:color="auto"/>
              <w:left w:val="nil"/>
              <w:bottom w:val="single" w:sz="4" w:space="0" w:color="auto"/>
              <w:right w:val="single" w:sz="4" w:space="0" w:color="auto"/>
            </w:tcBorders>
            <w:shd w:val="clear" w:color="000000" w:fill="D9D9D9"/>
            <w:hideMark/>
          </w:tcPr>
          <w:p w14:paraId="600999F6" w14:textId="77777777" w:rsidR="00BA1862" w:rsidRDefault="00BA1862" w:rsidP="00916D87">
            <w:pPr>
              <w:pBdr>
                <w:top w:val="nil"/>
                <w:left w:val="nil"/>
                <w:bottom w:val="nil"/>
                <w:right w:val="nil"/>
                <w:between w:val="nil"/>
              </w:pBdr>
              <w:spacing w:after="0" w:line="240" w:lineRule="auto"/>
              <w:jc w:val="center"/>
              <w:rPr>
                <w:rFonts w:eastAsia="Times New Roman" w:cstheme="minorHAnsi"/>
                <w:b/>
                <w:sz w:val="24"/>
                <w:szCs w:val="24"/>
              </w:rPr>
            </w:pPr>
          </w:p>
          <w:p w14:paraId="6B645FAF" w14:textId="77777777" w:rsidR="00BA1862" w:rsidRPr="00F662F8" w:rsidRDefault="00BA1862" w:rsidP="00916D87">
            <w:pPr>
              <w:spacing w:after="0" w:line="240" w:lineRule="auto"/>
              <w:jc w:val="center"/>
              <w:rPr>
                <w:rFonts w:eastAsia="Times New Roman" w:cstheme="minorHAnsi"/>
                <w:color w:val="000000"/>
                <w:sz w:val="24"/>
                <w:szCs w:val="24"/>
                <w:lang w:eastAsia="lt-LT"/>
              </w:rPr>
            </w:pPr>
            <w:r>
              <w:rPr>
                <w:rFonts w:eastAsia="Times New Roman" w:cstheme="minorHAnsi"/>
                <w:b/>
                <w:sz w:val="24"/>
                <w:szCs w:val="24"/>
              </w:rPr>
              <w:t>Pildo tiekėjas</w:t>
            </w:r>
          </w:p>
        </w:tc>
      </w:tr>
      <w:tr w:rsidR="00BA1862" w:rsidRPr="00F662F8" w14:paraId="6F2D5876" w14:textId="77777777" w:rsidTr="00916D87">
        <w:trPr>
          <w:trHeight w:val="992"/>
        </w:trPr>
        <w:tc>
          <w:tcPr>
            <w:tcW w:w="734" w:type="dxa"/>
            <w:tcBorders>
              <w:top w:val="nil"/>
              <w:left w:val="single" w:sz="4" w:space="0" w:color="auto"/>
              <w:bottom w:val="single" w:sz="4" w:space="0" w:color="auto"/>
              <w:right w:val="single" w:sz="4" w:space="0" w:color="auto"/>
            </w:tcBorders>
            <w:hideMark/>
          </w:tcPr>
          <w:p w14:paraId="17E60F36"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1</w:t>
            </w:r>
          </w:p>
        </w:tc>
        <w:tc>
          <w:tcPr>
            <w:tcW w:w="1809" w:type="dxa"/>
            <w:tcBorders>
              <w:top w:val="nil"/>
              <w:left w:val="nil"/>
              <w:bottom w:val="single" w:sz="4" w:space="0" w:color="auto"/>
              <w:right w:val="single" w:sz="4" w:space="0" w:color="auto"/>
            </w:tcBorders>
            <w:hideMark/>
          </w:tcPr>
          <w:p w14:paraId="6FE25518"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Procesorius</w:t>
            </w:r>
          </w:p>
        </w:tc>
        <w:tc>
          <w:tcPr>
            <w:tcW w:w="6243" w:type="dxa"/>
            <w:tcBorders>
              <w:top w:val="nil"/>
              <w:left w:val="nil"/>
              <w:bottom w:val="single" w:sz="4" w:space="0" w:color="auto"/>
              <w:right w:val="single" w:sz="4" w:space="0" w:color="auto"/>
            </w:tcBorders>
            <w:hideMark/>
          </w:tcPr>
          <w:p w14:paraId="58E768B0"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Ne mažiau kaip 1 procesorius, palaikantis taikomąsias programas, 64 bitų instrukcijų išplėtimą, virtualizavimo instrukcijas aparatiniu lygmeniu, ne mažiau kaip 32 fiziniai branduoliai bei ne mažiau kaip 8 atminties kanalų viename procesoriuje. Procesorių dažnis ne mažesnis kaip 2.3 Ghz.</w:t>
            </w:r>
          </w:p>
          <w:p w14:paraId="40A8023A"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Turi palaikyti AVX-512 instrukcijas. Turi būti suderinami su šiuo metu Pirkėjo naudojama Intel CPU virtualizacijos infrastruktūra.</w:t>
            </w:r>
          </w:p>
        </w:tc>
        <w:tc>
          <w:tcPr>
            <w:tcW w:w="1699" w:type="dxa"/>
            <w:tcBorders>
              <w:top w:val="nil"/>
              <w:left w:val="nil"/>
              <w:bottom w:val="single" w:sz="4" w:space="0" w:color="auto"/>
              <w:right w:val="single" w:sz="4" w:space="0" w:color="auto"/>
            </w:tcBorders>
            <w:hideMark/>
          </w:tcPr>
          <w:p w14:paraId="086A4031" w14:textId="77777777" w:rsidR="00BA1862" w:rsidRPr="00F662F8" w:rsidRDefault="00BA1862" w:rsidP="00916D87">
            <w:pPr>
              <w:spacing w:after="0" w:line="240" w:lineRule="auto"/>
              <w:jc w:val="center"/>
              <w:rPr>
                <w:rFonts w:eastAsia="Times New Roman" w:cstheme="minorHAnsi"/>
                <w:color w:val="000000"/>
                <w:sz w:val="24"/>
                <w:szCs w:val="24"/>
                <w:lang w:eastAsia="lt-LT"/>
              </w:rPr>
            </w:pPr>
          </w:p>
        </w:tc>
      </w:tr>
      <w:tr w:rsidR="00BA1862" w:rsidRPr="00F662F8" w14:paraId="0BC1296B" w14:textId="77777777" w:rsidTr="00916D87">
        <w:trPr>
          <w:trHeight w:val="1534"/>
        </w:trPr>
        <w:tc>
          <w:tcPr>
            <w:tcW w:w="734" w:type="dxa"/>
            <w:tcBorders>
              <w:top w:val="nil"/>
              <w:left w:val="single" w:sz="4" w:space="0" w:color="auto"/>
              <w:bottom w:val="single" w:sz="4" w:space="0" w:color="auto"/>
              <w:right w:val="single" w:sz="4" w:space="0" w:color="auto"/>
            </w:tcBorders>
            <w:hideMark/>
          </w:tcPr>
          <w:p w14:paraId="39A79DB4"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2</w:t>
            </w:r>
          </w:p>
        </w:tc>
        <w:tc>
          <w:tcPr>
            <w:tcW w:w="1809" w:type="dxa"/>
            <w:tcBorders>
              <w:top w:val="nil"/>
              <w:left w:val="nil"/>
              <w:bottom w:val="single" w:sz="4" w:space="0" w:color="auto"/>
              <w:right w:val="single" w:sz="4" w:space="0" w:color="auto"/>
            </w:tcBorders>
            <w:hideMark/>
          </w:tcPr>
          <w:p w14:paraId="6E59DF86"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Procesoriaus našumas</w:t>
            </w:r>
          </w:p>
        </w:tc>
        <w:tc>
          <w:tcPr>
            <w:tcW w:w="6243" w:type="dxa"/>
            <w:tcBorders>
              <w:top w:val="nil"/>
              <w:left w:val="nil"/>
              <w:bottom w:val="single" w:sz="4" w:space="0" w:color="auto"/>
              <w:right w:val="single" w:sz="4" w:space="0" w:color="auto"/>
            </w:tcBorders>
            <w:hideMark/>
          </w:tcPr>
          <w:p w14:paraId="08E10F6B"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 xml:space="preserve">Siūlomų procesorių našumo parametrai turi būti viešai publikuojami puslapyje www.spec.org. Procesoriaus testas turi būti atliktas siūlomoje serverio gamintojo aparatinėje platformoje ir turi atitikti siūlomos sistemos procesorių bazinio našumo rodiklį. Matavimai turi būti atlikti 1 procesoriaus sistemai ir būti ne  mažesni nei SPECrate2017_int_base= 195 ir SPECrate_fp_base= 300. </w:t>
            </w:r>
          </w:p>
        </w:tc>
        <w:tc>
          <w:tcPr>
            <w:tcW w:w="1699" w:type="dxa"/>
            <w:tcBorders>
              <w:top w:val="nil"/>
              <w:left w:val="nil"/>
              <w:bottom w:val="single" w:sz="4" w:space="0" w:color="auto"/>
              <w:right w:val="single" w:sz="4" w:space="0" w:color="auto"/>
            </w:tcBorders>
          </w:tcPr>
          <w:p w14:paraId="3D19398A" w14:textId="77777777" w:rsidR="00BA1862" w:rsidRPr="00F662F8" w:rsidRDefault="00BA1862" w:rsidP="00916D87">
            <w:pPr>
              <w:spacing w:after="0" w:line="240" w:lineRule="auto"/>
              <w:jc w:val="center"/>
              <w:rPr>
                <w:rFonts w:eastAsia="Times New Roman" w:cstheme="minorHAnsi"/>
                <w:color w:val="000000"/>
                <w:sz w:val="24"/>
                <w:szCs w:val="24"/>
                <w:lang w:eastAsia="lt-LT"/>
              </w:rPr>
            </w:pPr>
          </w:p>
        </w:tc>
      </w:tr>
      <w:tr w:rsidR="00BA1862" w:rsidRPr="00F662F8" w14:paraId="02040CF2" w14:textId="77777777" w:rsidTr="00916D87">
        <w:trPr>
          <w:trHeight w:val="992"/>
        </w:trPr>
        <w:tc>
          <w:tcPr>
            <w:tcW w:w="734" w:type="dxa"/>
            <w:tcBorders>
              <w:top w:val="nil"/>
              <w:left w:val="single" w:sz="4" w:space="0" w:color="auto"/>
              <w:bottom w:val="single" w:sz="4" w:space="0" w:color="auto"/>
              <w:right w:val="single" w:sz="4" w:space="0" w:color="auto"/>
            </w:tcBorders>
            <w:hideMark/>
          </w:tcPr>
          <w:p w14:paraId="0C5EAFE3"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3</w:t>
            </w:r>
          </w:p>
        </w:tc>
        <w:tc>
          <w:tcPr>
            <w:tcW w:w="1809" w:type="dxa"/>
            <w:tcBorders>
              <w:top w:val="nil"/>
              <w:left w:val="nil"/>
              <w:bottom w:val="single" w:sz="4" w:space="0" w:color="auto"/>
              <w:right w:val="single" w:sz="4" w:space="0" w:color="auto"/>
            </w:tcBorders>
            <w:hideMark/>
          </w:tcPr>
          <w:p w14:paraId="278E4BEB"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Operatyvioji atmintis</w:t>
            </w:r>
          </w:p>
        </w:tc>
        <w:tc>
          <w:tcPr>
            <w:tcW w:w="6243" w:type="dxa"/>
            <w:tcBorders>
              <w:top w:val="nil"/>
              <w:left w:val="nil"/>
              <w:bottom w:val="single" w:sz="4" w:space="0" w:color="auto"/>
              <w:right w:val="single" w:sz="4" w:space="0" w:color="auto"/>
            </w:tcBorders>
            <w:hideMark/>
          </w:tcPr>
          <w:p w14:paraId="19032F8B"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 xml:space="preserve">Ne mažiau ir ne lėtesnė kaip: 128GB  DDR5 6400 MTs ECC RDIMM. Atmintis plečiama ne mažiau nei iki 4TB su ne mažiau nei 16 atminties lizdų. Turi būti palaikomos „Advanced ECC“ arba lygiavertės technologijos. </w:t>
            </w:r>
          </w:p>
        </w:tc>
        <w:tc>
          <w:tcPr>
            <w:tcW w:w="1699" w:type="dxa"/>
            <w:tcBorders>
              <w:top w:val="nil"/>
              <w:left w:val="nil"/>
              <w:bottom w:val="single" w:sz="4" w:space="0" w:color="auto"/>
              <w:right w:val="single" w:sz="4" w:space="0" w:color="auto"/>
            </w:tcBorders>
            <w:hideMark/>
          </w:tcPr>
          <w:p w14:paraId="2A43B1AD" w14:textId="77777777" w:rsidR="00BA1862" w:rsidRPr="00F662F8" w:rsidRDefault="00BA1862" w:rsidP="00916D87">
            <w:pPr>
              <w:spacing w:after="0" w:line="240" w:lineRule="auto"/>
              <w:jc w:val="center"/>
              <w:rPr>
                <w:rFonts w:eastAsia="Times New Roman" w:cstheme="minorHAnsi"/>
                <w:color w:val="000000"/>
                <w:sz w:val="24"/>
                <w:szCs w:val="24"/>
                <w:lang w:eastAsia="lt-LT"/>
              </w:rPr>
            </w:pPr>
            <w:r w:rsidRPr="00F662F8">
              <w:rPr>
                <w:rFonts w:eastAsia="Times New Roman" w:cstheme="minorHAnsi"/>
                <w:color w:val="000000"/>
                <w:sz w:val="24"/>
                <w:szCs w:val="24"/>
                <w:lang w:eastAsia="lt-LT"/>
              </w:rPr>
              <w:t> </w:t>
            </w:r>
          </w:p>
        </w:tc>
      </w:tr>
      <w:tr w:rsidR="00BA1862" w:rsidRPr="00F662F8" w14:paraId="60F8FE3E" w14:textId="77777777" w:rsidTr="00916D87">
        <w:trPr>
          <w:trHeight w:val="450"/>
        </w:trPr>
        <w:tc>
          <w:tcPr>
            <w:tcW w:w="734" w:type="dxa"/>
            <w:tcBorders>
              <w:top w:val="nil"/>
              <w:left w:val="single" w:sz="4" w:space="0" w:color="auto"/>
              <w:bottom w:val="single" w:sz="4" w:space="0" w:color="auto"/>
              <w:right w:val="single" w:sz="4" w:space="0" w:color="auto"/>
            </w:tcBorders>
          </w:tcPr>
          <w:p w14:paraId="7071643F"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lastRenderedPageBreak/>
              <w:t>4</w:t>
            </w:r>
          </w:p>
          <w:p w14:paraId="491FB7E7" w14:textId="77777777" w:rsidR="00BA1862" w:rsidRPr="00F662F8" w:rsidRDefault="00BA1862" w:rsidP="00BD1D9D">
            <w:pPr>
              <w:spacing w:after="0" w:line="240" w:lineRule="auto"/>
              <w:rPr>
                <w:rFonts w:eastAsia="Times New Roman" w:cstheme="minorHAnsi"/>
                <w:color w:val="000000"/>
                <w:sz w:val="24"/>
                <w:szCs w:val="24"/>
                <w:lang w:eastAsia="lt-LT"/>
              </w:rPr>
            </w:pPr>
          </w:p>
        </w:tc>
        <w:tc>
          <w:tcPr>
            <w:tcW w:w="1809" w:type="dxa"/>
            <w:tcBorders>
              <w:top w:val="nil"/>
              <w:left w:val="single" w:sz="4" w:space="0" w:color="auto"/>
              <w:bottom w:val="single" w:sz="4" w:space="0" w:color="auto"/>
              <w:right w:val="single" w:sz="4" w:space="0" w:color="auto"/>
            </w:tcBorders>
          </w:tcPr>
          <w:p w14:paraId="60DF02CA"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Vidinių diskų RAID valdiklis</w:t>
            </w:r>
          </w:p>
        </w:tc>
        <w:tc>
          <w:tcPr>
            <w:tcW w:w="6243" w:type="dxa"/>
            <w:tcBorders>
              <w:top w:val="nil"/>
              <w:left w:val="single" w:sz="4" w:space="0" w:color="auto"/>
              <w:bottom w:val="single" w:sz="4" w:space="0" w:color="auto"/>
              <w:right w:val="single" w:sz="4" w:space="0" w:color="auto"/>
            </w:tcBorders>
          </w:tcPr>
          <w:p w14:paraId="667AF278"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Valdiklis:</w:t>
            </w:r>
          </w:p>
          <w:p w14:paraId="15B4E5CD"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a)</w:t>
            </w:r>
            <w:r>
              <w:rPr>
                <w:rFonts w:eastAsia="Times New Roman" w:cstheme="minorHAnsi"/>
                <w:color w:val="000000"/>
                <w:sz w:val="24"/>
                <w:szCs w:val="24"/>
                <w:lang w:eastAsia="lt-LT"/>
              </w:rPr>
              <w:t xml:space="preserve"> </w:t>
            </w:r>
            <w:r w:rsidRPr="00F662F8">
              <w:rPr>
                <w:rFonts w:eastAsia="Times New Roman" w:cstheme="minorHAnsi"/>
                <w:color w:val="000000"/>
                <w:sz w:val="24"/>
                <w:szCs w:val="24"/>
                <w:lang w:eastAsia="lt-LT"/>
              </w:rPr>
              <w:t>Turi palaikyti ne mažiau kaip 6 Gb/s SATA, 12 Gb/s SAS;</w:t>
            </w:r>
          </w:p>
          <w:p w14:paraId="57E094C8"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b)</w:t>
            </w:r>
            <w:r>
              <w:rPr>
                <w:rFonts w:eastAsia="Times New Roman" w:cstheme="minorHAnsi"/>
                <w:color w:val="000000"/>
                <w:sz w:val="24"/>
                <w:szCs w:val="24"/>
                <w:lang w:eastAsia="lt-LT"/>
              </w:rPr>
              <w:t xml:space="preserve"> </w:t>
            </w:r>
            <w:r w:rsidRPr="00F662F8">
              <w:rPr>
                <w:rFonts w:eastAsia="Times New Roman" w:cstheme="minorHAnsi"/>
                <w:color w:val="000000"/>
                <w:sz w:val="24"/>
                <w:szCs w:val="24"/>
                <w:lang w:eastAsia="lt-LT"/>
              </w:rPr>
              <w:t>Turi palaikyti RAID lygius – 0, 1, 10, 5, 6;</w:t>
            </w:r>
          </w:p>
          <w:p w14:paraId="5DB8960B"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Turi būti ne mažiau kaip 8 GB „Flash“ tipo atmintimi apsaugotos spartinančiosios atminties</w:t>
            </w:r>
          </w:p>
        </w:tc>
        <w:tc>
          <w:tcPr>
            <w:tcW w:w="1699" w:type="dxa"/>
            <w:tcBorders>
              <w:top w:val="nil"/>
              <w:left w:val="single" w:sz="4" w:space="0" w:color="auto"/>
              <w:bottom w:val="single" w:sz="4" w:space="0" w:color="auto"/>
              <w:right w:val="single" w:sz="4" w:space="0" w:color="auto"/>
            </w:tcBorders>
          </w:tcPr>
          <w:p w14:paraId="0D611897" w14:textId="77777777" w:rsidR="00BA1862" w:rsidRPr="00F662F8" w:rsidRDefault="00BA1862" w:rsidP="00916D87">
            <w:pPr>
              <w:spacing w:after="0" w:line="240" w:lineRule="auto"/>
              <w:jc w:val="center"/>
              <w:rPr>
                <w:rFonts w:eastAsia="Times New Roman" w:cstheme="minorHAnsi"/>
                <w:color w:val="000000"/>
                <w:sz w:val="24"/>
                <w:szCs w:val="24"/>
                <w:lang w:eastAsia="lt-LT"/>
              </w:rPr>
            </w:pPr>
          </w:p>
        </w:tc>
      </w:tr>
      <w:tr w:rsidR="00BA1862" w:rsidRPr="00F662F8" w14:paraId="54A7A949" w14:textId="77777777" w:rsidTr="00916D87">
        <w:trPr>
          <w:trHeight w:val="476"/>
        </w:trPr>
        <w:tc>
          <w:tcPr>
            <w:tcW w:w="734" w:type="dxa"/>
            <w:vMerge w:val="restart"/>
            <w:tcBorders>
              <w:top w:val="nil"/>
              <w:left w:val="single" w:sz="4" w:space="0" w:color="auto"/>
              <w:bottom w:val="single" w:sz="4" w:space="0" w:color="auto"/>
              <w:right w:val="single" w:sz="4" w:space="0" w:color="auto"/>
            </w:tcBorders>
            <w:hideMark/>
          </w:tcPr>
          <w:p w14:paraId="4B3E82DD" w14:textId="77777777" w:rsidR="00BA1862" w:rsidRPr="00F662F8" w:rsidRDefault="00BA1862" w:rsidP="00BD1D9D">
            <w:pPr>
              <w:spacing w:after="0" w:line="240" w:lineRule="auto"/>
              <w:rPr>
                <w:rFonts w:eastAsia="Times New Roman" w:cstheme="minorHAnsi"/>
                <w:color w:val="000000"/>
                <w:sz w:val="24"/>
                <w:szCs w:val="24"/>
                <w:lang w:eastAsia="lt-LT"/>
              </w:rPr>
            </w:pPr>
            <w:r>
              <w:rPr>
                <w:rFonts w:eastAsia="Times New Roman" w:cstheme="minorHAnsi"/>
                <w:color w:val="000000"/>
                <w:sz w:val="24"/>
                <w:szCs w:val="24"/>
                <w:lang w:eastAsia="lt-LT"/>
              </w:rPr>
              <w:t>5</w:t>
            </w:r>
          </w:p>
        </w:tc>
        <w:tc>
          <w:tcPr>
            <w:tcW w:w="1809" w:type="dxa"/>
            <w:vMerge w:val="restart"/>
            <w:tcBorders>
              <w:top w:val="nil"/>
              <w:left w:val="single" w:sz="4" w:space="0" w:color="auto"/>
              <w:bottom w:val="single" w:sz="4" w:space="0" w:color="auto"/>
              <w:right w:val="single" w:sz="4" w:space="0" w:color="auto"/>
            </w:tcBorders>
            <w:hideMark/>
          </w:tcPr>
          <w:p w14:paraId="382F392B"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Diskiniai kaupikliai</w:t>
            </w:r>
          </w:p>
        </w:tc>
        <w:tc>
          <w:tcPr>
            <w:tcW w:w="6243" w:type="dxa"/>
            <w:vMerge w:val="restart"/>
            <w:tcBorders>
              <w:top w:val="nil"/>
              <w:left w:val="single" w:sz="4" w:space="0" w:color="auto"/>
              <w:bottom w:val="single" w:sz="4" w:space="0" w:color="auto"/>
              <w:right w:val="single" w:sz="4" w:space="0" w:color="auto"/>
            </w:tcBorders>
            <w:hideMark/>
          </w:tcPr>
          <w:p w14:paraId="06B0FB25"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Turi būti ne mažiau kaip 4 vnt., ne mažesnės talpos kaip 960GB, SATA RI karšto keitimo diskai.</w:t>
            </w:r>
          </w:p>
        </w:tc>
        <w:tc>
          <w:tcPr>
            <w:tcW w:w="1699" w:type="dxa"/>
            <w:vMerge w:val="restart"/>
            <w:tcBorders>
              <w:top w:val="nil"/>
              <w:left w:val="single" w:sz="4" w:space="0" w:color="auto"/>
              <w:bottom w:val="single" w:sz="4" w:space="0" w:color="auto"/>
              <w:right w:val="single" w:sz="4" w:space="0" w:color="auto"/>
            </w:tcBorders>
            <w:hideMark/>
          </w:tcPr>
          <w:p w14:paraId="4E9F69B8" w14:textId="77777777" w:rsidR="00BA1862" w:rsidRPr="00F662F8" w:rsidRDefault="00BA1862" w:rsidP="00916D87">
            <w:pPr>
              <w:spacing w:after="0" w:line="240" w:lineRule="auto"/>
              <w:jc w:val="center"/>
              <w:rPr>
                <w:rFonts w:eastAsia="Times New Roman" w:cstheme="minorHAnsi"/>
                <w:color w:val="000000"/>
                <w:sz w:val="24"/>
                <w:szCs w:val="24"/>
                <w:lang w:eastAsia="lt-LT"/>
              </w:rPr>
            </w:pPr>
            <w:r w:rsidRPr="00F662F8">
              <w:rPr>
                <w:rFonts w:eastAsia="Times New Roman" w:cstheme="minorHAnsi"/>
                <w:color w:val="000000"/>
                <w:sz w:val="24"/>
                <w:szCs w:val="24"/>
                <w:lang w:eastAsia="lt-LT"/>
              </w:rPr>
              <w:t> </w:t>
            </w:r>
          </w:p>
        </w:tc>
      </w:tr>
      <w:tr w:rsidR="00BA1862" w:rsidRPr="00F662F8" w14:paraId="5540AB8B" w14:textId="77777777" w:rsidTr="00916D87">
        <w:trPr>
          <w:trHeight w:val="496"/>
        </w:trPr>
        <w:tc>
          <w:tcPr>
            <w:tcW w:w="734" w:type="dxa"/>
            <w:vMerge/>
            <w:tcBorders>
              <w:top w:val="nil"/>
              <w:left w:val="single" w:sz="4" w:space="0" w:color="auto"/>
              <w:bottom w:val="single" w:sz="4" w:space="0" w:color="auto"/>
              <w:right w:val="single" w:sz="4" w:space="0" w:color="auto"/>
            </w:tcBorders>
            <w:vAlign w:val="center"/>
            <w:hideMark/>
          </w:tcPr>
          <w:p w14:paraId="3F162F82" w14:textId="77777777" w:rsidR="00BA1862" w:rsidRPr="00F662F8" w:rsidRDefault="00BA1862" w:rsidP="00BD1D9D">
            <w:pPr>
              <w:spacing w:after="0" w:line="240" w:lineRule="auto"/>
              <w:rPr>
                <w:rFonts w:eastAsia="Times New Roman" w:cstheme="minorHAnsi"/>
                <w:color w:val="000000"/>
                <w:sz w:val="24"/>
                <w:szCs w:val="24"/>
                <w:lang w:eastAsia="lt-LT"/>
              </w:rPr>
            </w:pPr>
          </w:p>
        </w:tc>
        <w:tc>
          <w:tcPr>
            <w:tcW w:w="1809" w:type="dxa"/>
            <w:vMerge/>
            <w:tcBorders>
              <w:top w:val="nil"/>
              <w:left w:val="single" w:sz="4" w:space="0" w:color="auto"/>
              <w:bottom w:val="single" w:sz="4" w:space="0" w:color="auto"/>
              <w:right w:val="single" w:sz="4" w:space="0" w:color="auto"/>
            </w:tcBorders>
            <w:vAlign w:val="center"/>
            <w:hideMark/>
          </w:tcPr>
          <w:p w14:paraId="51296DD6" w14:textId="77777777" w:rsidR="00BA1862" w:rsidRPr="00F662F8" w:rsidRDefault="00BA1862" w:rsidP="00BD1D9D">
            <w:pPr>
              <w:spacing w:after="0" w:line="240" w:lineRule="auto"/>
              <w:rPr>
                <w:rFonts w:eastAsia="Times New Roman" w:cstheme="minorHAnsi"/>
                <w:color w:val="000000"/>
                <w:sz w:val="24"/>
                <w:szCs w:val="24"/>
                <w:lang w:eastAsia="lt-LT"/>
              </w:rPr>
            </w:pPr>
          </w:p>
        </w:tc>
        <w:tc>
          <w:tcPr>
            <w:tcW w:w="6243" w:type="dxa"/>
            <w:vMerge/>
            <w:tcBorders>
              <w:top w:val="nil"/>
              <w:left w:val="single" w:sz="4" w:space="0" w:color="auto"/>
              <w:bottom w:val="single" w:sz="4" w:space="0" w:color="auto"/>
              <w:right w:val="single" w:sz="4" w:space="0" w:color="auto"/>
            </w:tcBorders>
            <w:vAlign w:val="center"/>
            <w:hideMark/>
          </w:tcPr>
          <w:p w14:paraId="3D677BE4" w14:textId="77777777" w:rsidR="00BA1862" w:rsidRPr="00F662F8" w:rsidRDefault="00BA1862" w:rsidP="00916D87">
            <w:pPr>
              <w:spacing w:after="0" w:line="240" w:lineRule="auto"/>
              <w:jc w:val="both"/>
              <w:rPr>
                <w:rFonts w:eastAsia="Times New Roman" w:cstheme="minorHAnsi"/>
                <w:color w:val="000000"/>
                <w:sz w:val="24"/>
                <w:szCs w:val="24"/>
                <w:lang w:eastAsia="lt-LT"/>
              </w:rPr>
            </w:pPr>
          </w:p>
        </w:tc>
        <w:tc>
          <w:tcPr>
            <w:tcW w:w="1699" w:type="dxa"/>
            <w:vMerge/>
            <w:tcBorders>
              <w:top w:val="nil"/>
              <w:left w:val="single" w:sz="4" w:space="0" w:color="auto"/>
              <w:bottom w:val="single" w:sz="4" w:space="0" w:color="auto"/>
              <w:right w:val="single" w:sz="4" w:space="0" w:color="auto"/>
            </w:tcBorders>
            <w:vAlign w:val="center"/>
            <w:hideMark/>
          </w:tcPr>
          <w:p w14:paraId="4608A8CD" w14:textId="77777777" w:rsidR="00BA1862" w:rsidRPr="00F662F8" w:rsidRDefault="00BA1862" w:rsidP="00916D87">
            <w:pPr>
              <w:spacing w:after="0" w:line="240" w:lineRule="auto"/>
              <w:rPr>
                <w:rFonts w:eastAsia="Times New Roman" w:cstheme="minorHAnsi"/>
                <w:color w:val="000000"/>
                <w:sz w:val="24"/>
                <w:szCs w:val="24"/>
                <w:lang w:eastAsia="lt-LT"/>
              </w:rPr>
            </w:pPr>
          </w:p>
        </w:tc>
      </w:tr>
      <w:tr w:rsidR="00BA1862" w:rsidRPr="00F662F8" w14:paraId="79BDAD8C" w14:textId="77777777" w:rsidTr="00916D87">
        <w:trPr>
          <w:trHeight w:val="511"/>
        </w:trPr>
        <w:tc>
          <w:tcPr>
            <w:tcW w:w="734" w:type="dxa"/>
            <w:tcBorders>
              <w:top w:val="nil"/>
              <w:left w:val="single" w:sz="4" w:space="0" w:color="auto"/>
              <w:bottom w:val="single" w:sz="4" w:space="0" w:color="auto"/>
              <w:right w:val="single" w:sz="4" w:space="0" w:color="auto"/>
            </w:tcBorders>
            <w:hideMark/>
          </w:tcPr>
          <w:p w14:paraId="2D01E2FE" w14:textId="77777777" w:rsidR="00BA1862" w:rsidRPr="00F662F8" w:rsidRDefault="00BA1862" w:rsidP="00BD1D9D">
            <w:pPr>
              <w:spacing w:after="0" w:line="240" w:lineRule="auto"/>
              <w:rPr>
                <w:rFonts w:eastAsia="Times New Roman" w:cstheme="minorHAnsi"/>
                <w:color w:val="000000"/>
                <w:sz w:val="24"/>
                <w:szCs w:val="24"/>
                <w:lang w:eastAsia="lt-LT"/>
              </w:rPr>
            </w:pPr>
            <w:r>
              <w:rPr>
                <w:rFonts w:eastAsia="Times New Roman" w:cstheme="minorHAnsi"/>
                <w:color w:val="000000"/>
                <w:sz w:val="24"/>
                <w:szCs w:val="24"/>
                <w:lang w:eastAsia="lt-LT"/>
              </w:rPr>
              <w:t>6</w:t>
            </w:r>
          </w:p>
        </w:tc>
        <w:tc>
          <w:tcPr>
            <w:tcW w:w="1809" w:type="dxa"/>
            <w:tcBorders>
              <w:top w:val="nil"/>
              <w:left w:val="nil"/>
              <w:bottom w:val="single" w:sz="4" w:space="0" w:color="auto"/>
              <w:right w:val="single" w:sz="4" w:space="0" w:color="auto"/>
            </w:tcBorders>
            <w:hideMark/>
          </w:tcPr>
          <w:p w14:paraId="3C6DE88A" w14:textId="77777777" w:rsidR="00BA1862" w:rsidRPr="00F662F8" w:rsidRDefault="00BA1862" w:rsidP="00BD1D9D">
            <w:pPr>
              <w:spacing w:after="0" w:line="240" w:lineRule="auto"/>
              <w:rPr>
                <w:rFonts w:eastAsia="Times New Roman" w:cstheme="minorHAnsi"/>
                <w:color w:val="000000" w:themeColor="text1"/>
                <w:sz w:val="24"/>
                <w:szCs w:val="24"/>
                <w:lang w:eastAsia="lt-LT"/>
              </w:rPr>
            </w:pPr>
            <w:r w:rsidRPr="00F662F8">
              <w:rPr>
                <w:rFonts w:eastAsia="Times New Roman" w:cstheme="minorHAnsi"/>
                <w:color w:val="000000" w:themeColor="text1"/>
                <w:sz w:val="24"/>
                <w:szCs w:val="24"/>
                <w:lang w:eastAsia="lt-LT"/>
              </w:rPr>
              <w:t>Vidinė įkrovos atmintis</w:t>
            </w:r>
          </w:p>
        </w:tc>
        <w:tc>
          <w:tcPr>
            <w:tcW w:w="6243" w:type="dxa"/>
            <w:tcBorders>
              <w:top w:val="nil"/>
              <w:left w:val="nil"/>
              <w:bottom w:val="single" w:sz="4" w:space="0" w:color="auto"/>
              <w:right w:val="single" w:sz="4" w:space="0" w:color="auto"/>
            </w:tcBorders>
            <w:hideMark/>
          </w:tcPr>
          <w:p w14:paraId="5F7ECDCC" w14:textId="77777777" w:rsidR="00BA1862" w:rsidRPr="00F662F8" w:rsidRDefault="00BA1862" w:rsidP="00916D87">
            <w:pPr>
              <w:spacing w:after="0" w:line="240" w:lineRule="auto"/>
              <w:jc w:val="both"/>
              <w:rPr>
                <w:rFonts w:eastAsia="Times New Roman" w:cstheme="minorHAnsi"/>
                <w:color w:val="000000" w:themeColor="text1"/>
                <w:sz w:val="24"/>
                <w:szCs w:val="24"/>
                <w:lang w:eastAsia="lt-LT"/>
              </w:rPr>
            </w:pPr>
            <w:r w:rsidRPr="00F662F8">
              <w:rPr>
                <w:rFonts w:eastAsia="Times New Roman" w:cstheme="minorHAnsi"/>
                <w:color w:val="000000" w:themeColor="text1"/>
                <w:sz w:val="24"/>
                <w:szCs w:val="24"/>
                <w:lang w:eastAsia="lt-LT"/>
              </w:rPr>
              <w:t>Turi būti ne mažiau kaip 2 vnt SSD tipo ne mažiau kaip 480GB diskai , apjungti į aparatinį Raid1 masyvą.</w:t>
            </w:r>
          </w:p>
        </w:tc>
        <w:tc>
          <w:tcPr>
            <w:tcW w:w="1699" w:type="dxa"/>
            <w:tcBorders>
              <w:top w:val="nil"/>
              <w:left w:val="nil"/>
              <w:bottom w:val="single" w:sz="4" w:space="0" w:color="auto"/>
              <w:right w:val="single" w:sz="4" w:space="0" w:color="auto"/>
            </w:tcBorders>
            <w:hideMark/>
          </w:tcPr>
          <w:p w14:paraId="1EA9F8E2" w14:textId="77777777" w:rsidR="00BA1862" w:rsidRPr="00F662F8" w:rsidRDefault="00BA1862" w:rsidP="00916D87">
            <w:pPr>
              <w:spacing w:after="0" w:line="240" w:lineRule="auto"/>
              <w:jc w:val="center"/>
              <w:rPr>
                <w:rFonts w:eastAsia="Times New Roman" w:cstheme="minorHAnsi"/>
                <w:color w:val="000000"/>
                <w:sz w:val="24"/>
                <w:szCs w:val="24"/>
                <w:lang w:eastAsia="lt-LT"/>
              </w:rPr>
            </w:pPr>
            <w:r w:rsidRPr="00F662F8">
              <w:rPr>
                <w:rFonts w:eastAsia="Times New Roman" w:cstheme="minorHAnsi"/>
                <w:color w:val="000000"/>
                <w:sz w:val="24"/>
                <w:szCs w:val="24"/>
                <w:lang w:eastAsia="lt-LT"/>
              </w:rPr>
              <w:t> </w:t>
            </w:r>
          </w:p>
        </w:tc>
      </w:tr>
      <w:tr w:rsidR="00BA1862" w:rsidRPr="00F662F8" w14:paraId="383DC788" w14:textId="77777777" w:rsidTr="00916D87">
        <w:trPr>
          <w:trHeight w:val="300"/>
        </w:trPr>
        <w:tc>
          <w:tcPr>
            <w:tcW w:w="734" w:type="dxa"/>
            <w:tcBorders>
              <w:top w:val="nil"/>
              <w:left w:val="single" w:sz="4" w:space="0" w:color="auto"/>
              <w:bottom w:val="single" w:sz="4" w:space="0" w:color="auto"/>
              <w:right w:val="single" w:sz="4" w:space="0" w:color="auto"/>
            </w:tcBorders>
            <w:hideMark/>
          </w:tcPr>
          <w:p w14:paraId="7CB7BD94"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7</w:t>
            </w:r>
          </w:p>
        </w:tc>
        <w:tc>
          <w:tcPr>
            <w:tcW w:w="1809" w:type="dxa"/>
            <w:tcBorders>
              <w:top w:val="nil"/>
              <w:left w:val="nil"/>
              <w:bottom w:val="single" w:sz="4" w:space="0" w:color="auto"/>
              <w:right w:val="single" w:sz="4" w:space="0" w:color="auto"/>
            </w:tcBorders>
            <w:hideMark/>
          </w:tcPr>
          <w:p w14:paraId="2FF0E25C"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Tinklo plokštė:</w:t>
            </w:r>
          </w:p>
        </w:tc>
        <w:tc>
          <w:tcPr>
            <w:tcW w:w="6243" w:type="dxa"/>
            <w:tcBorders>
              <w:top w:val="nil"/>
              <w:left w:val="nil"/>
              <w:bottom w:val="single" w:sz="4" w:space="0" w:color="auto"/>
              <w:right w:val="single" w:sz="4" w:space="0" w:color="auto"/>
            </w:tcBorders>
            <w:hideMark/>
          </w:tcPr>
          <w:p w14:paraId="4728A62F"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Ne mažiau kaip  2 vnt. 25G SFP28 prievadų.</w:t>
            </w:r>
          </w:p>
          <w:p w14:paraId="7D7C2CD7"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2 vnt DAC 25G tipo kabelių, 3m ilgio.</w:t>
            </w:r>
          </w:p>
        </w:tc>
        <w:tc>
          <w:tcPr>
            <w:tcW w:w="1699" w:type="dxa"/>
            <w:tcBorders>
              <w:top w:val="nil"/>
              <w:left w:val="nil"/>
              <w:bottom w:val="single" w:sz="4" w:space="0" w:color="auto"/>
              <w:right w:val="single" w:sz="4" w:space="0" w:color="auto"/>
            </w:tcBorders>
            <w:hideMark/>
          </w:tcPr>
          <w:p w14:paraId="1FD13728" w14:textId="77777777" w:rsidR="00BA1862" w:rsidRPr="00F662F8" w:rsidRDefault="00BA1862" w:rsidP="00916D87">
            <w:pPr>
              <w:spacing w:after="0" w:line="240" w:lineRule="auto"/>
              <w:jc w:val="center"/>
              <w:rPr>
                <w:rFonts w:eastAsia="Times New Roman" w:cstheme="minorHAnsi"/>
                <w:color w:val="000000"/>
                <w:sz w:val="24"/>
                <w:szCs w:val="24"/>
                <w:lang w:eastAsia="lt-LT"/>
              </w:rPr>
            </w:pPr>
            <w:r w:rsidRPr="00F662F8">
              <w:rPr>
                <w:rFonts w:eastAsia="Times New Roman" w:cstheme="minorHAnsi"/>
                <w:color w:val="000000"/>
                <w:sz w:val="24"/>
                <w:szCs w:val="24"/>
                <w:lang w:eastAsia="lt-LT"/>
              </w:rPr>
              <w:t> </w:t>
            </w:r>
          </w:p>
        </w:tc>
      </w:tr>
      <w:tr w:rsidR="00BA1862" w:rsidRPr="00F662F8" w14:paraId="70471CBC" w14:textId="77777777" w:rsidTr="00916D87">
        <w:trPr>
          <w:trHeight w:val="511"/>
        </w:trPr>
        <w:tc>
          <w:tcPr>
            <w:tcW w:w="734" w:type="dxa"/>
            <w:tcBorders>
              <w:top w:val="nil"/>
              <w:left w:val="single" w:sz="4" w:space="0" w:color="auto"/>
              <w:bottom w:val="single" w:sz="4" w:space="0" w:color="auto"/>
              <w:right w:val="single" w:sz="4" w:space="0" w:color="auto"/>
            </w:tcBorders>
            <w:hideMark/>
          </w:tcPr>
          <w:p w14:paraId="351C899E"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8</w:t>
            </w:r>
          </w:p>
        </w:tc>
        <w:tc>
          <w:tcPr>
            <w:tcW w:w="1809" w:type="dxa"/>
            <w:tcBorders>
              <w:top w:val="nil"/>
              <w:left w:val="nil"/>
              <w:bottom w:val="single" w:sz="4" w:space="0" w:color="auto"/>
              <w:right w:val="single" w:sz="4" w:space="0" w:color="auto"/>
            </w:tcBorders>
            <w:hideMark/>
          </w:tcPr>
          <w:p w14:paraId="22D84ABE"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Kitos išorinės jungtys</w:t>
            </w:r>
          </w:p>
        </w:tc>
        <w:tc>
          <w:tcPr>
            <w:tcW w:w="6243" w:type="dxa"/>
            <w:tcBorders>
              <w:top w:val="nil"/>
              <w:left w:val="nil"/>
              <w:bottom w:val="single" w:sz="4" w:space="0" w:color="auto"/>
              <w:right w:val="single" w:sz="4" w:space="0" w:color="auto"/>
            </w:tcBorders>
            <w:hideMark/>
          </w:tcPr>
          <w:p w14:paraId="5EB8146B"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 xml:space="preserve">Ne mažiau kaip: 4 x USB, 1 x VGA. </w:t>
            </w:r>
          </w:p>
        </w:tc>
        <w:tc>
          <w:tcPr>
            <w:tcW w:w="1699" w:type="dxa"/>
            <w:tcBorders>
              <w:top w:val="nil"/>
              <w:left w:val="nil"/>
              <w:bottom w:val="single" w:sz="4" w:space="0" w:color="auto"/>
              <w:right w:val="single" w:sz="4" w:space="0" w:color="auto"/>
            </w:tcBorders>
            <w:hideMark/>
          </w:tcPr>
          <w:p w14:paraId="56F42BF4" w14:textId="77777777" w:rsidR="00BA1862" w:rsidRPr="00F662F8" w:rsidRDefault="00BA1862" w:rsidP="00916D87">
            <w:pPr>
              <w:spacing w:after="0" w:line="240" w:lineRule="auto"/>
              <w:jc w:val="center"/>
              <w:rPr>
                <w:rFonts w:eastAsia="Times New Roman" w:cstheme="minorHAnsi"/>
                <w:color w:val="000000"/>
                <w:sz w:val="24"/>
                <w:szCs w:val="24"/>
                <w:lang w:eastAsia="lt-LT"/>
              </w:rPr>
            </w:pPr>
            <w:r w:rsidRPr="00F662F8">
              <w:rPr>
                <w:rFonts w:eastAsia="Times New Roman" w:cstheme="minorHAnsi"/>
                <w:color w:val="000000"/>
                <w:sz w:val="24"/>
                <w:szCs w:val="24"/>
                <w:lang w:eastAsia="lt-LT"/>
              </w:rPr>
              <w:t> </w:t>
            </w:r>
          </w:p>
        </w:tc>
      </w:tr>
      <w:tr w:rsidR="00BA1862" w:rsidRPr="00F662F8" w14:paraId="46EBF513" w14:textId="77777777" w:rsidTr="00916D87">
        <w:trPr>
          <w:trHeight w:val="616"/>
        </w:trPr>
        <w:tc>
          <w:tcPr>
            <w:tcW w:w="734" w:type="dxa"/>
            <w:tcBorders>
              <w:top w:val="nil"/>
              <w:left w:val="single" w:sz="4" w:space="0" w:color="auto"/>
              <w:bottom w:val="single" w:sz="4" w:space="0" w:color="auto"/>
              <w:right w:val="single" w:sz="4" w:space="0" w:color="auto"/>
            </w:tcBorders>
            <w:hideMark/>
          </w:tcPr>
          <w:p w14:paraId="7326441E"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9</w:t>
            </w:r>
          </w:p>
        </w:tc>
        <w:tc>
          <w:tcPr>
            <w:tcW w:w="1809" w:type="dxa"/>
            <w:tcBorders>
              <w:top w:val="nil"/>
              <w:left w:val="nil"/>
              <w:bottom w:val="single" w:sz="4" w:space="0" w:color="auto"/>
              <w:right w:val="single" w:sz="4" w:space="0" w:color="auto"/>
            </w:tcBorders>
            <w:hideMark/>
          </w:tcPr>
          <w:p w14:paraId="1E101B6D"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Video kontroleris</w:t>
            </w:r>
          </w:p>
        </w:tc>
        <w:tc>
          <w:tcPr>
            <w:tcW w:w="6243" w:type="dxa"/>
            <w:tcBorders>
              <w:top w:val="nil"/>
              <w:left w:val="nil"/>
              <w:bottom w:val="single" w:sz="4" w:space="0" w:color="auto"/>
              <w:right w:val="single" w:sz="4" w:space="0" w:color="auto"/>
            </w:tcBorders>
            <w:hideMark/>
          </w:tcPr>
          <w:p w14:paraId="6AF8E70F"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Turi būti integruotas.</w:t>
            </w:r>
          </w:p>
        </w:tc>
        <w:tc>
          <w:tcPr>
            <w:tcW w:w="1699" w:type="dxa"/>
            <w:tcBorders>
              <w:top w:val="nil"/>
              <w:left w:val="nil"/>
              <w:bottom w:val="single" w:sz="4" w:space="0" w:color="auto"/>
              <w:right w:val="single" w:sz="4" w:space="0" w:color="auto"/>
            </w:tcBorders>
            <w:hideMark/>
          </w:tcPr>
          <w:p w14:paraId="69C508B5" w14:textId="77777777" w:rsidR="00BA1862" w:rsidRPr="00F662F8" w:rsidRDefault="00BA1862" w:rsidP="00916D87">
            <w:pPr>
              <w:spacing w:after="0" w:line="240" w:lineRule="auto"/>
              <w:jc w:val="center"/>
              <w:rPr>
                <w:rFonts w:eastAsia="Times New Roman" w:cstheme="minorHAnsi"/>
                <w:color w:val="000000"/>
                <w:sz w:val="24"/>
                <w:szCs w:val="24"/>
                <w:lang w:eastAsia="lt-LT"/>
              </w:rPr>
            </w:pPr>
            <w:r w:rsidRPr="00F662F8">
              <w:rPr>
                <w:rFonts w:eastAsia="Times New Roman" w:cstheme="minorHAnsi"/>
                <w:color w:val="000000"/>
                <w:sz w:val="24"/>
                <w:szCs w:val="24"/>
                <w:lang w:eastAsia="lt-LT"/>
              </w:rPr>
              <w:t> </w:t>
            </w:r>
          </w:p>
        </w:tc>
      </w:tr>
      <w:tr w:rsidR="00BA1862" w:rsidRPr="00F662F8" w14:paraId="34936279" w14:textId="77777777" w:rsidTr="00916D87">
        <w:trPr>
          <w:trHeight w:val="511"/>
        </w:trPr>
        <w:tc>
          <w:tcPr>
            <w:tcW w:w="734" w:type="dxa"/>
            <w:tcBorders>
              <w:top w:val="nil"/>
              <w:left w:val="single" w:sz="4" w:space="0" w:color="auto"/>
              <w:bottom w:val="single" w:sz="4" w:space="0" w:color="auto"/>
              <w:right w:val="single" w:sz="4" w:space="0" w:color="auto"/>
            </w:tcBorders>
            <w:hideMark/>
          </w:tcPr>
          <w:p w14:paraId="6525B444"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10</w:t>
            </w:r>
          </w:p>
        </w:tc>
        <w:tc>
          <w:tcPr>
            <w:tcW w:w="1809" w:type="dxa"/>
            <w:tcBorders>
              <w:top w:val="nil"/>
              <w:left w:val="nil"/>
              <w:bottom w:val="single" w:sz="4" w:space="0" w:color="auto"/>
              <w:right w:val="single" w:sz="4" w:space="0" w:color="auto"/>
            </w:tcBorders>
            <w:hideMark/>
          </w:tcPr>
          <w:p w14:paraId="728170CA"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PCI jungtys</w:t>
            </w:r>
          </w:p>
        </w:tc>
        <w:tc>
          <w:tcPr>
            <w:tcW w:w="6243" w:type="dxa"/>
            <w:tcBorders>
              <w:top w:val="nil"/>
              <w:left w:val="nil"/>
              <w:bottom w:val="single" w:sz="4" w:space="0" w:color="auto"/>
              <w:right w:val="single" w:sz="4" w:space="0" w:color="auto"/>
            </w:tcBorders>
            <w:hideMark/>
          </w:tcPr>
          <w:p w14:paraId="6AD0D849"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 xml:space="preserve">Turi būti sukonfigūruoti ne mažiau kaip 3 vnt PCI-E 5.0 tipo lizdai. </w:t>
            </w:r>
          </w:p>
        </w:tc>
        <w:tc>
          <w:tcPr>
            <w:tcW w:w="1699" w:type="dxa"/>
            <w:tcBorders>
              <w:top w:val="nil"/>
              <w:left w:val="nil"/>
              <w:bottom w:val="single" w:sz="4" w:space="0" w:color="auto"/>
              <w:right w:val="single" w:sz="4" w:space="0" w:color="auto"/>
            </w:tcBorders>
            <w:hideMark/>
          </w:tcPr>
          <w:p w14:paraId="69065FBA" w14:textId="77777777" w:rsidR="00BA1862" w:rsidRPr="00F662F8" w:rsidRDefault="00BA1862" w:rsidP="00916D87">
            <w:pPr>
              <w:spacing w:after="0" w:line="240" w:lineRule="auto"/>
              <w:jc w:val="center"/>
              <w:rPr>
                <w:rFonts w:eastAsia="Times New Roman" w:cstheme="minorHAnsi"/>
                <w:color w:val="000000"/>
                <w:sz w:val="24"/>
                <w:szCs w:val="24"/>
                <w:lang w:eastAsia="lt-LT"/>
              </w:rPr>
            </w:pPr>
            <w:r w:rsidRPr="00F662F8">
              <w:rPr>
                <w:rFonts w:eastAsia="Times New Roman" w:cstheme="minorHAnsi"/>
                <w:color w:val="000000"/>
                <w:sz w:val="24"/>
                <w:szCs w:val="24"/>
                <w:lang w:eastAsia="lt-LT"/>
              </w:rPr>
              <w:t> </w:t>
            </w:r>
          </w:p>
        </w:tc>
      </w:tr>
      <w:tr w:rsidR="00BA1862" w:rsidRPr="00F662F8" w14:paraId="0D52C2B0" w14:textId="77777777" w:rsidTr="00916D87">
        <w:trPr>
          <w:trHeight w:val="992"/>
        </w:trPr>
        <w:tc>
          <w:tcPr>
            <w:tcW w:w="734" w:type="dxa"/>
            <w:tcBorders>
              <w:top w:val="nil"/>
              <w:left w:val="single" w:sz="4" w:space="0" w:color="auto"/>
              <w:bottom w:val="single" w:sz="4" w:space="0" w:color="auto"/>
              <w:right w:val="single" w:sz="4" w:space="0" w:color="auto"/>
            </w:tcBorders>
            <w:hideMark/>
          </w:tcPr>
          <w:p w14:paraId="1535981F"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11</w:t>
            </w:r>
          </w:p>
        </w:tc>
        <w:tc>
          <w:tcPr>
            <w:tcW w:w="1809" w:type="dxa"/>
            <w:tcBorders>
              <w:top w:val="nil"/>
              <w:left w:val="nil"/>
              <w:bottom w:val="single" w:sz="4" w:space="0" w:color="auto"/>
              <w:right w:val="single" w:sz="4" w:space="0" w:color="auto"/>
            </w:tcBorders>
            <w:hideMark/>
          </w:tcPr>
          <w:p w14:paraId="4419A0C6"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Konstrukcija</w:t>
            </w:r>
          </w:p>
        </w:tc>
        <w:tc>
          <w:tcPr>
            <w:tcW w:w="6243" w:type="dxa"/>
            <w:tcBorders>
              <w:top w:val="nil"/>
              <w:left w:val="nil"/>
              <w:bottom w:val="single" w:sz="4" w:space="0" w:color="auto"/>
              <w:right w:val="single" w:sz="4" w:space="0" w:color="auto"/>
            </w:tcBorders>
            <w:hideMark/>
          </w:tcPr>
          <w:p w14:paraId="263998A8"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Serveris turi būti montuojamas į standartinę 19“ spintą. Bėgiai turi būti pritaikyti greitam montavimui bei serverio ištraukimui („sliding rails“). Turi būti kabelių montavimo alkūnė. Korpuso aukštis neturi viršyti 1U. Tarnybinės stoties priekinėje dalyje turi būti sumontuota užrakinama apsauga.</w:t>
            </w:r>
          </w:p>
        </w:tc>
        <w:tc>
          <w:tcPr>
            <w:tcW w:w="1699" w:type="dxa"/>
            <w:tcBorders>
              <w:top w:val="nil"/>
              <w:left w:val="nil"/>
              <w:bottom w:val="single" w:sz="4" w:space="0" w:color="auto"/>
              <w:right w:val="single" w:sz="4" w:space="0" w:color="auto"/>
            </w:tcBorders>
            <w:hideMark/>
          </w:tcPr>
          <w:p w14:paraId="0AA23EE0" w14:textId="77777777" w:rsidR="00BA1862" w:rsidRPr="00F662F8" w:rsidRDefault="00BA1862" w:rsidP="00916D87">
            <w:pPr>
              <w:spacing w:after="0" w:line="240" w:lineRule="auto"/>
              <w:jc w:val="center"/>
              <w:rPr>
                <w:rFonts w:eastAsia="Times New Roman" w:cstheme="minorHAnsi"/>
                <w:color w:val="000000"/>
                <w:sz w:val="24"/>
                <w:szCs w:val="24"/>
                <w:lang w:eastAsia="lt-LT"/>
              </w:rPr>
            </w:pPr>
            <w:r w:rsidRPr="00F662F8">
              <w:rPr>
                <w:rFonts w:eastAsia="Times New Roman" w:cstheme="minorHAnsi"/>
                <w:color w:val="000000"/>
                <w:sz w:val="24"/>
                <w:szCs w:val="24"/>
                <w:lang w:eastAsia="lt-LT"/>
              </w:rPr>
              <w:t> </w:t>
            </w:r>
          </w:p>
        </w:tc>
      </w:tr>
      <w:tr w:rsidR="00BA1862" w:rsidRPr="00F662F8" w14:paraId="669B5C05" w14:textId="77777777" w:rsidTr="00916D87">
        <w:trPr>
          <w:trHeight w:val="992"/>
        </w:trPr>
        <w:tc>
          <w:tcPr>
            <w:tcW w:w="734" w:type="dxa"/>
            <w:tcBorders>
              <w:top w:val="nil"/>
              <w:left w:val="single" w:sz="4" w:space="0" w:color="auto"/>
              <w:bottom w:val="single" w:sz="4" w:space="0" w:color="auto"/>
              <w:right w:val="single" w:sz="4" w:space="0" w:color="auto"/>
            </w:tcBorders>
            <w:hideMark/>
          </w:tcPr>
          <w:p w14:paraId="3B038CF7"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12</w:t>
            </w:r>
          </w:p>
        </w:tc>
        <w:tc>
          <w:tcPr>
            <w:tcW w:w="1809" w:type="dxa"/>
            <w:tcBorders>
              <w:top w:val="nil"/>
              <w:left w:val="nil"/>
              <w:bottom w:val="single" w:sz="4" w:space="0" w:color="auto"/>
              <w:right w:val="single" w:sz="4" w:space="0" w:color="auto"/>
            </w:tcBorders>
            <w:hideMark/>
          </w:tcPr>
          <w:p w14:paraId="1243ADF5"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Maitinimo šaltiniai</w:t>
            </w:r>
          </w:p>
        </w:tc>
        <w:tc>
          <w:tcPr>
            <w:tcW w:w="6243" w:type="dxa"/>
            <w:tcBorders>
              <w:top w:val="nil"/>
              <w:left w:val="nil"/>
              <w:bottom w:val="single" w:sz="4" w:space="0" w:color="auto"/>
              <w:right w:val="single" w:sz="4" w:space="0" w:color="auto"/>
            </w:tcBorders>
            <w:hideMark/>
          </w:tcPr>
          <w:p w14:paraId="49755BC2"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Ne mažiau kaip du nepriklausomi „karšto keitimo“ (angl.</w:t>
            </w:r>
            <w:r w:rsidRPr="00F662F8">
              <w:rPr>
                <w:rFonts w:eastAsia="Times New Roman" w:cstheme="minorHAnsi"/>
                <w:i/>
                <w:iCs/>
                <w:color w:val="000000"/>
                <w:sz w:val="24"/>
                <w:szCs w:val="24"/>
                <w:lang w:eastAsia="lt-LT"/>
              </w:rPr>
              <w:t>Hot-plug)</w:t>
            </w:r>
            <w:r w:rsidRPr="00F662F8">
              <w:rPr>
                <w:rFonts w:eastAsia="Times New Roman" w:cstheme="minorHAnsi"/>
                <w:color w:val="000000"/>
                <w:sz w:val="24"/>
                <w:szCs w:val="24"/>
                <w:lang w:eastAsia="lt-LT"/>
              </w:rPr>
              <w:t xml:space="preserve"> ~230 V 50 Hz įrenginiai, ne mažesnio kaip 800 W galingumo su atskirais įvadais ir ne mažiau kaip 94 % efektyvumo prie 50% apkrovos. </w:t>
            </w:r>
          </w:p>
        </w:tc>
        <w:tc>
          <w:tcPr>
            <w:tcW w:w="1699" w:type="dxa"/>
            <w:tcBorders>
              <w:top w:val="nil"/>
              <w:left w:val="nil"/>
              <w:bottom w:val="single" w:sz="4" w:space="0" w:color="auto"/>
              <w:right w:val="single" w:sz="4" w:space="0" w:color="auto"/>
            </w:tcBorders>
            <w:hideMark/>
          </w:tcPr>
          <w:p w14:paraId="364DED74" w14:textId="77777777" w:rsidR="00BA1862" w:rsidRPr="00F662F8" w:rsidRDefault="00BA1862" w:rsidP="00916D87">
            <w:pPr>
              <w:spacing w:after="0" w:line="240" w:lineRule="auto"/>
              <w:jc w:val="center"/>
              <w:rPr>
                <w:rFonts w:eastAsia="Times New Roman" w:cstheme="minorHAnsi"/>
                <w:color w:val="000000"/>
                <w:sz w:val="24"/>
                <w:szCs w:val="24"/>
                <w:lang w:eastAsia="lt-LT"/>
              </w:rPr>
            </w:pPr>
            <w:r w:rsidRPr="00F662F8">
              <w:rPr>
                <w:rFonts w:eastAsia="Times New Roman" w:cstheme="minorHAnsi"/>
                <w:color w:val="000000"/>
                <w:sz w:val="24"/>
                <w:szCs w:val="24"/>
                <w:lang w:eastAsia="lt-LT"/>
              </w:rPr>
              <w:t> </w:t>
            </w:r>
          </w:p>
        </w:tc>
      </w:tr>
      <w:tr w:rsidR="00BA1862" w:rsidRPr="00F662F8" w14:paraId="6EFEF078" w14:textId="77777777" w:rsidTr="00916D87">
        <w:trPr>
          <w:trHeight w:val="511"/>
        </w:trPr>
        <w:tc>
          <w:tcPr>
            <w:tcW w:w="734" w:type="dxa"/>
            <w:tcBorders>
              <w:top w:val="nil"/>
              <w:left w:val="single" w:sz="4" w:space="0" w:color="auto"/>
              <w:bottom w:val="single" w:sz="4" w:space="0" w:color="auto"/>
              <w:right w:val="single" w:sz="4" w:space="0" w:color="auto"/>
            </w:tcBorders>
            <w:hideMark/>
          </w:tcPr>
          <w:p w14:paraId="712626B2"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13</w:t>
            </w:r>
          </w:p>
        </w:tc>
        <w:tc>
          <w:tcPr>
            <w:tcW w:w="1809" w:type="dxa"/>
            <w:tcBorders>
              <w:top w:val="nil"/>
              <w:left w:val="nil"/>
              <w:bottom w:val="single" w:sz="4" w:space="0" w:color="auto"/>
              <w:right w:val="single" w:sz="4" w:space="0" w:color="auto"/>
            </w:tcBorders>
            <w:hideMark/>
          </w:tcPr>
          <w:p w14:paraId="5FA776AB"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Aušinimas</w:t>
            </w:r>
          </w:p>
        </w:tc>
        <w:tc>
          <w:tcPr>
            <w:tcW w:w="6243" w:type="dxa"/>
            <w:tcBorders>
              <w:top w:val="nil"/>
              <w:left w:val="nil"/>
              <w:bottom w:val="single" w:sz="4" w:space="0" w:color="auto"/>
              <w:right w:val="single" w:sz="4" w:space="0" w:color="auto"/>
            </w:tcBorders>
            <w:hideMark/>
          </w:tcPr>
          <w:p w14:paraId="36806FA3"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Dubliuoti aušinimo moduliai, ne mažiau nei gamintojo numatyta rezervavimui užtikrinti, „karšto keitimo“ („Hot-plug“) tipo.</w:t>
            </w:r>
          </w:p>
        </w:tc>
        <w:tc>
          <w:tcPr>
            <w:tcW w:w="1699" w:type="dxa"/>
            <w:tcBorders>
              <w:top w:val="nil"/>
              <w:left w:val="nil"/>
              <w:bottom w:val="single" w:sz="4" w:space="0" w:color="auto"/>
              <w:right w:val="single" w:sz="4" w:space="0" w:color="auto"/>
            </w:tcBorders>
            <w:hideMark/>
          </w:tcPr>
          <w:p w14:paraId="7847A12B" w14:textId="77777777" w:rsidR="00BA1862" w:rsidRPr="00F662F8" w:rsidRDefault="00BA1862" w:rsidP="00916D87">
            <w:pPr>
              <w:spacing w:after="0" w:line="240" w:lineRule="auto"/>
              <w:jc w:val="center"/>
              <w:rPr>
                <w:rFonts w:eastAsia="Times New Roman" w:cstheme="minorHAnsi"/>
                <w:color w:val="000000"/>
                <w:sz w:val="24"/>
                <w:szCs w:val="24"/>
                <w:lang w:eastAsia="lt-LT"/>
              </w:rPr>
            </w:pPr>
            <w:r w:rsidRPr="00F662F8">
              <w:rPr>
                <w:rFonts w:eastAsia="Times New Roman" w:cstheme="minorHAnsi"/>
                <w:color w:val="000000"/>
                <w:sz w:val="24"/>
                <w:szCs w:val="24"/>
                <w:lang w:eastAsia="lt-LT"/>
              </w:rPr>
              <w:t> </w:t>
            </w:r>
          </w:p>
        </w:tc>
      </w:tr>
      <w:tr w:rsidR="00BA1862" w:rsidRPr="00F662F8" w14:paraId="7FE2E9DB" w14:textId="77777777" w:rsidTr="00916D87">
        <w:trPr>
          <w:trHeight w:val="992"/>
        </w:trPr>
        <w:tc>
          <w:tcPr>
            <w:tcW w:w="734" w:type="dxa"/>
            <w:vMerge w:val="restart"/>
            <w:tcBorders>
              <w:top w:val="nil"/>
              <w:left w:val="single" w:sz="4" w:space="0" w:color="auto"/>
              <w:bottom w:val="single" w:sz="4" w:space="0" w:color="auto"/>
              <w:right w:val="single" w:sz="4" w:space="0" w:color="auto"/>
            </w:tcBorders>
            <w:hideMark/>
          </w:tcPr>
          <w:p w14:paraId="455C238E"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14</w:t>
            </w:r>
          </w:p>
        </w:tc>
        <w:tc>
          <w:tcPr>
            <w:tcW w:w="1809" w:type="dxa"/>
            <w:vMerge w:val="restart"/>
            <w:tcBorders>
              <w:top w:val="nil"/>
              <w:left w:val="single" w:sz="4" w:space="0" w:color="auto"/>
              <w:bottom w:val="single" w:sz="4" w:space="0" w:color="auto"/>
              <w:right w:val="single" w:sz="4" w:space="0" w:color="auto"/>
            </w:tcBorders>
            <w:hideMark/>
          </w:tcPr>
          <w:p w14:paraId="7ACCD114"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Valdymo sistema</w:t>
            </w:r>
          </w:p>
        </w:tc>
        <w:tc>
          <w:tcPr>
            <w:tcW w:w="6243" w:type="dxa"/>
            <w:tcBorders>
              <w:top w:val="nil"/>
              <w:left w:val="nil"/>
              <w:bottom w:val="single" w:sz="4" w:space="0" w:color="auto"/>
              <w:right w:val="single" w:sz="4" w:space="0" w:color="auto"/>
            </w:tcBorders>
            <w:hideMark/>
          </w:tcPr>
          <w:p w14:paraId="1E7DEBF2"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 xml:space="preserve">Dedikuotas valdymo kontroleris, nepriklausantis nuo OS, turintis dedikuotą valdymo tinklo jungtį 10/100/1000 baseT Ethernet RJ-45 bei galimybę prisijungti per USB jungtį iš serverio priekio. Ethernet ryšys turi būti apsaugotas ne silpnesniu nei 128 bitų raktu (SSL). Valdymo kontroleris turi gauti ir registruoti pranešimus apie procesoriaus, atminties, diskų valdiklio, diskų ir kitų serverinės sistemos dalių darbo parametrų nukrypimus nuo normos. Turi palaikyti automatinio informavimo apie sistemos sutrikimus siuntimą elektroniniu paštu. Valdymo kontroleris turi stebėti bei palaikyti serverio komponentų  sisteminio kodo (firmware)  atnaujinimus. </w:t>
            </w:r>
          </w:p>
        </w:tc>
        <w:tc>
          <w:tcPr>
            <w:tcW w:w="1699" w:type="dxa"/>
            <w:vMerge w:val="restart"/>
            <w:tcBorders>
              <w:top w:val="nil"/>
              <w:left w:val="single" w:sz="4" w:space="0" w:color="auto"/>
              <w:bottom w:val="single" w:sz="4" w:space="0" w:color="auto"/>
              <w:right w:val="single" w:sz="4" w:space="0" w:color="auto"/>
            </w:tcBorders>
            <w:hideMark/>
          </w:tcPr>
          <w:p w14:paraId="5FD16A2B" w14:textId="77777777" w:rsidR="00BA1862" w:rsidRPr="00F662F8" w:rsidRDefault="00BA1862" w:rsidP="00916D87">
            <w:pPr>
              <w:spacing w:after="0" w:line="240" w:lineRule="auto"/>
              <w:jc w:val="center"/>
              <w:rPr>
                <w:rFonts w:eastAsia="Times New Roman" w:cstheme="minorHAnsi"/>
                <w:color w:val="000000"/>
                <w:sz w:val="24"/>
                <w:szCs w:val="24"/>
                <w:lang w:eastAsia="lt-LT"/>
              </w:rPr>
            </w:pPr>
            <w:r w:rsidRPr="00F662F8">
              <w:rPr>
                <w:rFonts w:eastAsia="Times New Roman" w:cstheme="minorHAnsi"/>
                <w:color w:val="000000"/>
                <w:sz w:val="24"/>
                <w:szCs w:val="24"/>
                <w:lang w:eastAsia="lt-LT"/>
              </w:rPr>
              <w:t> </w:t>
            </w:r>
          </w:p>
        </w:tc>
      </w:tr>
      <w:tr w:rsidR="00BA1862" w:rsidRPr="00F662F8" w14:paraId="201C30FE" w14:textId="77777777" w:rsidTr="00916D87">
        <w:trPr>
          <w:trHeight w:val="767"/>
        </w:trPr>
        <w:tc>
          <w:tcPr>
            <w:tcW w:w="734" w:type="dxa"/>
            <w:vMerge/>
            <w:tcBorders>
              <w:top w:val="nil"/>
              <w:left w:val="single" w:sz="4" w:space="0" w:color="auto"/>
              <w:bottom w:val="single" w:sz="4" w:space="0" w:color="auto"/>
              <w:right w:val="single" w:sz="4" w:space="0" w:color="auto"/>
            </w:tcBorders>
            <w:vAlign w:val="center"/>
            <w:hideMark/>
          </w:tcPr>
          <w:p w14:paraId="3F326886" w14:textId="77777777" w:rsidR="00BA1862" w:rsidRPr="00F662F8" w:rsidRDefault="00BA1862" w:rsidP="00BD1D9D">
            <w:pPr>
              <w:spacing w:after="0" w:line="240" w:lineRule="auto"/>
              <w:rPr>
                <w:rFonts w:eastAsia="Times New Roman" w:cstheme="minorHAnsi"/>
                <w:color w:val="000000"/>
                <w:sz w:val="24"/>
                <w:szCs w:val="24"/>
                <w:lang w:eastAsia="lt-LT"/>
              </w:rPr>
            </w:pPr>
          </w:p>
        </w:tc>
        <w:tc>
          <w:tcPr>
            <w:tcW w:w="1809" w:type="dxa"/>
            <w:vMerge/>
            <w:tcBorders>
              <w:top w:val="nil"/>
              <w:left w:val="single" w:sz="4" w:space="0" w:color="auto"/>
              <w:bottom w:val="single" w:sz="4" w:space="0" w:color="auto"/>
              <w:right w:val="single" w:sz="4" w:space="0" w:color="auto"/>
            </w:tcBorders>
            <w:vAlign w:val="center"/>
            <w:hideMark/>
          </w:tcPr>
          <w:p w14:paraId="0BE0C129" w14:textId="77777777" w:rsidR="00BA1862" w:rsidRPr="00F662F8" w:rsidRDefault="00BA1862" w:rsidP="00BD1D9D">
            <w:pPr>
              <w:spacing w:after="0" w:line="240" w:lineRule="auto"/>
              <w:rPr>
                <w:rFonts w:eastAsia="Times New Roman" w:cstheme="minorHAnsi"/>
                <w:color w:val="000000"/>
                <w:sz w:val="24"/>
                <w:szCs w:val="24"/>
                <w:lang w:eastAsia="lt-LT"/>
              </w:rPr>
            </w:pPr>
          </w:p>
        </w:tc>
        <w:tc>
          <w:tcPr>
            <w:tcW w:w="6243" w:type="dxa"/>
            <w:tcBorders>
              <w:top w:val="nil"/>
              <w:left w:val="nil"/>
              <w:bottom w:val="single" w:sz="4" w:space="0" w:color="auto"/>
              <w:right w:val="single" w:sz="4" w:space="0" w:color="auto"/>
            </w:tcBorders>
            <w:hideMark/>
          </w:tcPr>
          <w:p w14:paraId="485F0BA0"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Turi būti „KVM over IP“ funkcionalumas (grafinė nepriklausoma nuo operacinės sistemos sąsaja, virtuali grafinė konsolė, virtualių lokalių CD-ROM įrenginių valdymas).</w:t>
            </w:r>
          </w:p>
        </w:tc>
        <w:tc>
          <w:tcPr>
            <w:tcW w:w="1699" w:type="dxa"/>
            <w:vMerge/>
            <w:tcBorders>
              <w:top w:val="nil"/>
              <w:left w:val="single" w:sz="4" w:space="0" w:color="auto"/>
              <w:bottom w:val="single" w:sz="4" w:space="0" w:color="auto"/>
              <w:right w:val="single" w:sz="4" w:space="0" w:color="auto"/>
            </w:tcBorders>
            <w:vAlign w:val="center"/>
            <w:hideMark/>
          </w:tcPr>
          <w:p w14:paraId="014DC8C7" w14:textId="77777777" w:rsidR="00BA1862" w:rsidRPr="00F662F8" w:rsidRDefault="00BA1862" w:rsidP="00916D87">
            <w:pPr>
              <w:spacing w:after="0" w:line="240" w:lineRule="auto"/>
              <w:rPr>
                <w:rFonts w:eastAsia="Times New Roman" w:cstheme="minorHAnsi"/>
                <w:color w:val="000000"/>
                <w:sz w:val="24"/>
                <w:szCs w:val="24"/>
                <w:lang w:eastAsia="lt-LT"/>
              </w:rPr>
            </w:pPr>
          </w:p>
        </w:tc>
      </w:tr>
      <w:tr w:rsidR="00BA1862" w:rsidRPr="00F662F8" w14:paraId="04878996" w14:textId="77777777" w:rsidTr="00916D87">
        <w:trPr>
          <w:trHeight w:val="511"/>
        </w:trPr>
        <w:tc>
          <w:tcPr>
            <w:tcW w:w="734" w:type="dxa"/>
            <w:vMerge/>
            <w:tcBorders>
              <w:top w:val="nil"/>
              <w:left w:val="single" w:sz="4" w:space="0" w:color="auto"/>
              <w:bottom w:val="single" w:sz="4" w:space="0" w:color="auto"/>
              <w:right w:val="single" w:sz="4" w:space="0" w:color="auto"/>
            </w:tcBorders>
            <w:vAlign w:val="center"/>
            <w:hideMark/>
          </w:tcPr>
          <w:p w14:paraId="74904AAD" w14:textId="77777777" w:rsidR="00BA1862" w:rsidRPr="00F662F8" w:rsidRDefault="00BA1862" w:rsidP="00BD1D9D">
            <w:pPr>
              <w:spacing w:after="0" w:line="240" w:lineRule="auto"/>
              <w:rPr>
                <w:rFonts w:eastAsia="Times New Roman" w:cstheme="minorHAnsi"/>
                <w:color w:val="000000"/>
                <w:sz w:val="24"/>
                <w:szCs w:val="24"/>
                <w:lang w:eastAsia="lt-LT"/>
              </w:rPr>
            </w:pPr>
          </w:p>
        </w:tc>
        <w:tc>
          <w:tcPr>
            <w:tcW w:w="1809" w:type="dxa"/>
            <w:vMerge/>
            <w:tcBorders>
              <w:top w:val="nil"/>
              <w:left w:val="single" w:sz="4" w:space="0" w:color="auto"/>
              <w:bottom w:val="single" w:sz="4" w:space="0" w:color="auto"/>
              <w:right w:val="single" w:sz="4" w:space="0" w:color="auto"/>
            </w:tcBorders>
            <w:vAlign w:val="center"/>
            <w:hideMark/>
          </w:tcPr>
          <w:p w14:paraId="5E8DC259" w14:textId="77777777" w:rsidR="00BA1862" w:rsidRPr="00F662F8" w:rsidRDefault="00BA1862" w:rsidP="00BD1D9D">
            <w:pPr>
              <w:spacing w:after="0" w:line="240" w:lineRule="auto"/>
              <w:rPr>
                <w:rFonts w:eastAsia="Times New Roman" w:cstheme="minorHAnsi"/>
                <w:color w:val="000000"/>
                <w:sz w:val="24"/>
                <w:szCs w:val="24"/>
                <w:lang w:eastAsia="lt-LT"/>
              </w:rPr>
            </w:pPr>
          </w:p>
        </w:tc>
        <w:tc>
          <w:tcPr>
            <w:tcW w:w="6243" w:type="dxa"/>
            <w:tcBorders>
              <w:top w:val="nil"/>
              <w:left w:val="nil"/>
              <w:bottom w:val="single" w:sz="4" w:space="0" w:color="auto"/>
              <w:right w:val="single" w:sz="4" w:space="0" w:color="auto"/>
            </w:tcBorders>
            <w:hideMark/>
          </w:tcPr>
          <w:p w14:paraId="7F65BD59"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HTML 5 arba lygiavertė vartotojo sąsaja tiek vartotojo aplinkai, tiek virtualiai konsolei.</w:t>
            </w:r>
          </w:p>
        </w:tc>
        <w:tc>
          <w:tcPr>
            <w:tcW w:w="1699" w:type="dxa"/>
            <w:vMerge/>
            <w:tcBorders>
              <w:top w:val="nil"/>
              <w:left w:val="single" w:sz="4" w:space="0" w:color="auto"/>
              <w:bottom w:val="single" w:sz="4" w:space="0" w:color="auto"/>
              <w:right w:val="single" w:sz="4" w:space="0" w:color="auto"/>
            </w:tcBorders>
            <w:vAlign w:val="center"/>
            <w:hideMark/>
          </w:tcPr>
          <w:p w14:paraId="7D1E0A8C" w14:textId="77777777" w:rsidR="00BA1862" w:rsidRPr="00F662F8" w:rsidRDefault="00BA1862" w:rsidP="00916D87">
            <w:pPr>
              <w:spacing w:after="0" w:line="240" w:lineRule="auto"/>
              <w:rPr>
                <w:rFonts w:eastAsia="Times New Roman" w:cstheme="minorHAnsi"/>
                <w:color w:val="000000"/>
                <w:sz w:val="24"/>
                <w:szCs w:val="24"/>
                <w:lang w:eastAsia="lt-LT"/>
              </w:rPr>
            </w:pPr>
          </w:p>
        </w:tc>
      </w:tr>
      <w:tr w:rsidR="00BA1862" w:rsidRPr="00F662F8" w14:paraId="75E51783" w14:textId="77777777" w:rsidTr="00916D87">
        <w:trPr>
          <w:trHeight w:val="511"/>
        </w:trPr>
        <w:tc>
          <w:tcPr>
            <w:tcW w:w="734" w:type="dxa"/>
            <w:vMerge/>
            <w:tcBorders>
              <w:top w:val="nil"/>
              <w:left w:val="single" w:sz="4" w:space="0" w:color="auto"/>
              <w:bottom w:val="single" w:sz="4" w:space="0" w:color="auto"/>
              <w:right w:val="single" w:sz="4" w:space="0" w:color="auto"/>
            </w:tcBorders>
            <w:vAlign w:val="center"/>
            <w:hideMark/>
          </w:tcPr>
          <w:p w14:paraId="5EB5E22F" w14:textId="77777777" w:rsidR="00BA1862" w:rsidRPr="00F662F8" w:rsidRDefault="00BA1862" w:rsidP="00BD1D9D">
            <w:pPr>
              <w:spacing w:after="0" w:line="240" w:lineRule="auto"/>
              <w:rPr>
                <w:rFonts w:eastAsia="Times New Roman" w:cstheme="minorHAnsi"/>
                <w:color w:val="000000"/>
                <w:sz w:val="24"/>
                <w:szCs w:val="24"/>
                <w:lang w:eastAsia="lt-LT"/>
              </w:rPr>
            </w:pPr>
          </w:p>
        </w:tc>
        <w:tc>
          <w:tcPr>
            <w:tcW w:w="1809" w:type="dxa"/>
            <w:vMerge/>
            <w:tcBorders>
              <w:top w:val="nil"/>
              <w:left w:val="single" w:sz="4" w:space="0" w:color="auto"/>
              <w:bottom w:val="single" w:sz="4" w:space="0" w:color="auto"/>
              <w:right w:val="single" w:sz="4" w:space="0" w:color="auto"/>
            </w:tcBorders>
            <w:vAlign w:val="center"/>
            <w:hideMark/>
          </w:tcPr>
          <w:p w14:paraId="02B302BD" w14:textId="77777777" w:rsidR="00BA1862" w:rsidRPr="00F662F8" w:rsidRDefault="00BA1862" w:rsidP="00BD1D9D">
            <w:pPr>
              <w:spacing w:after="0" w:line="240" w:lineRule="auto"/>
              <w:rPr>
                <w:rFonts w:eastAsia="Times New Roman" w:cstheme="minorHAnsi"/>
                <w:color w:val="000000"/>
                <w:sz w:val="24"/>
                <w:szCs w:val="24"/>
                <w:lang w:eastAsia="lt-LT"/>
              </w:rPr>
            </w:pPr>
          </w:p>
        </w:tc>
        <w:tc>
          <w:tcPr>
            <w:tcW w:w="6243" w:type="dxa"/>
            <w:tcBorders>
              <w:top w:val="nil"/>
              <w:left w:val="nil"/>
              <w:bottom w:val="single" w:sz="4" w:space="0" w:color="auto"/>
              <w:right w:val="single" w:sz="4" w:space="0" w:color="auto"/>
            </w:tcBorders>
            <w:hideMark/>
          </w:tcPr>
          <w:p w14:paraId="287CC216"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Sistemos mikrokodo („firmware“) atnaujinimai turi būti apsaugoti kriptografiniu parašu.</w:t>
            </w:r>
          </w:p>
        </w:tc>
        <w:tc>
          <w:tcPr>
            <w:tcW w:w="1699" w:type="dxa"/>
            <w:vMerge/>
            <w:tcBorders>
              <w:top w:val="nil"/>
              <w:left w:val="single" w:sz="4" w:space="0" w:color="auto"/>
              <w:bottom w:val="single" w:sz="4" w:space="0" w:color="auto"/>
              <w:right w:val="single" w:sz="4" w:space="0" w:color="auto"/>
            </w:tcBorders>
            <w:vAlign w:val="center"/>
            <w:hideMark/>
          </w:tcPr>
          <w:p w14:paraId="552E8D07" w14:textId="77777777" w:rsidR="00BA1862" w:rsidRPr="00F662F8" w:rsidRDefault="00BA1862" w:rsidP="00916D87">
            <w:pPr>
              <w:spacing w:after="0" w:line="240" w:lineRule="auto"/>
              <w:rPr>
                <w:rFonts w:eastAsia="Times New Roman" w:cstheme="minorHAnsi"/>
                <w:color w:val="000000"/>
                <w:sz w:val="24"/>
                <w:szCs w:val="24"/>
                <w:lang w:eastAsia="lt-LT"/>
              </w:rPr>
            </w:pPr>
          </w:p>
        </w:tc>
      </w:tr>
      <w:tr w:rsidR="00BA1862" w:rsidRPr="00F662F8" w14:paraId="3BC343A6" w14:textId="77777777" w:rsidTr="00916D87">
        <w:trPr>
          <w:trHeight w:val="300"/>
        </w:trPr>
        <w:tc>
          <w:tcPr>
            <w:tcW w:w="734" w:type="dxa"/>
            <w:vMerge/>
            <w:tcBorders>
              <w:top w:val="nil"/>
              <w:left w:val="single" w:sz="4" w:space="0" w:color="auto"/>
              <w:bottom w:val="single" w:sz="4" w:space="0" w:color="auto"/>
              <w:right w:val="single" w:sz="4" w:space="0" w:color="auto"/>
            </w:tcBorders>
            <w:vAlign w:val="center"/>
            <w:hideMark/>
          </w:tcPr>
          <w:p w14:paraId="70C3F1DA" w14:textId="77777777" w:rsidR="00BA1862" w:rsidRPr="00F662F8" w:rsidRDefault="00BA1862" w:rsidP="00BD1D9D">
            <w:pPr>
              <w:spacing w:after="0" w:line="240" w:lineRule="auto"/>
              <w:rPr>
                <w:rFonts w:eastAsia="Times New Roman" w:cstheme="minorHAnsi"/>
                <w:color w:val="000000"/>
                <w:sz w:val="24"/>
                <w:szCs w:val="24"/>
                <w:lang w:eastAsia="lt-LT"/>
              </w:rPr>
            </w:pPr>
          </w:p>
        </w:tc>
        <w:tc>
          <w:tcPr>
            <w:tcW w:w="1809" w:type="dxa"/>
            <w:vMerge/>
            <w:tcBorders>
              <w:top w:val="nil"/>
              <w:left w:val="single" w:sz="4" w:space="0" w:color="auto"/>
              <w:bottom w:val="single" w:sz="4" w:space="0" w:color="auto"/>
              <w:right w:val="single" w:sz="4" w:space="0" w:color="auto"/>
            </w:tcBorders>
            <w:vAlign w:val="center"/>
            <w:hideMark/>
          </w:tcPr>
          <w:p w14:paraId="28221C60" w14:textId="77777777" w:rsidR="00BA1862" w:rsidRPr="00F662F8" w:rsidRDefault="00BA1862" w:rsidP="00BD1D9D">
            <w:pPr>
              <w:spacing w:after="0" w:line="240" w:lineRule="auto"/>
              <w:rPr>
                <w:rFonts w:eastAsia="Times New Roman" w:cstheme="minorHAnsi"/>
                <w:color w:val="000000"/>
                <w:sz w:val="24"/>
                <w:szCs w:val="24"/>
                <w:lang w:eastAsia="lt-LT"/>
              </w:rPr>
            </w:pPr>
          </w:p>
        </w:tc>
        <w:tc>
          <w:tcPr>
            <w:tcW w:w="6243" w:type="dxa"/>
            <w:tcBorders>
              <w:top w:val="nil"/>
              <w:left w:val="nil"/>
              <w:bottom w:val="single" w:sz="4" w:space="0" w:color="auto"/>
              <w:right w:val="single" w:sz="4" w:space="0" w:color="auto"/>
            </w:tcBorders>
            <w:hideMark/>
          </w:tcPr>
          <w:p w14:paraId="3FA7632B"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Turi palaikyti nuotolinį pilną serverio įtampos išjungimą.</w:t>
            </w:r>
          </w:p>
        </w:tc>
        <w:tc>
          <w:tcPr>
            <w:tcW w:w="1699" w:type="dxa"/>
            <w:vMerge/>
            <w:tcBorders>
              <w:top w:val="nil"/>
              <w:left w:val="single" w:sz="4" w:space="0" w:color="auto"/>
              <w:bottom w:val="single" w:sz="4" w:space="0" w:color="auto"/>
              <w:right w:val="single" w:sz="4" w:space="0" w:color="auto"/>
            </w:tcBorders>
            <w:vAlign w:val="center"/>
            <w:hideMark/>
          </w:tcPr>
          <w:p w14:paraId="13944FBA" w14:textId="77777777" w:rsidR="00BA1862" w:rsidRPr="00F662F8" w:rsidRDefault="00BA1862" w:rsidP="00916D87">
            <w:pPr>
              <w:spacing w:after="0" w:line="240" w:lineRule="auto"/>
              <w:rPr>
                <w:rFonts w:eastAsia="Times New Roman" w:cstheme="minorHAnsi"/>
                <w:color w:val="000000"/>
                <w:sz w:val="24"/>
                <w:szCs w:val="24"/>
                <w:lang w:eastAsia="lt-LT"/>
              </w:rPr>
            </w:pPr>
          </w:p>
        </w:tc>
      </w:tr>
      <w:tr w:rsidR="00BA1862" w:rsidRPr="00F662F8" w14:paraId="33F4412F" w14:textId="77777777" w:rsidTr="00916D87">
        <w:trPr>
          <w:trHeight w:val="511"/>
        </w:trPr>
        <w:tc>
          <w:tcPr>
            <w:tcW w:w="734" w:type="dxa"/>
            <w:vMerge/>
            <w:tcBorders>
              <w:top w:val="nil"/>
              <w:left w:val="single" w:sz="4" w:space="0" w:color="auto"/>
              <w:bottom w:val="single" w:sz="4" w:space="0" w:color="auto"/>
              <w:right w:val="single" w:sz="4" w:space="0" w:color="auto"/>
            </w:tcBorders>
            <w:vAlign w:val="center"/>
            <w:hideMark/>
          </w:tcPr>
          <w:p w14:paraId="4D07102B" w14:textId="77777777" w:rsidR="00BA1862" w:rsidRPr="00F662F8" w:rsidRDefault="00BA1862" w:rsidP="00BD1D9D">
            <w:pPr>
              <w:spacing w:after="0" w:line="240" w:lineRule="auto"/>
              <w:rPr>
                <w:rFonts w:eastAsia="Times New Roman" w:cstheme="minorHAnsi"/>
                <w:color w:val="000000"/>
                <w:sz w:val="24"/>
                <w:szCs w:val="24"/>
                <w:lang w:eastAsia="lt-LT"/>
              </w:rPr>
            </w:pPr>
          </w:p>
        </w:tc>
        <w:tc>
          <w:tcPr>
            <w:tcW w:w="1809" w:type="dxa"/>
            <w:vMerge/>
            <w:tcBorders>
              <w:top w:val="nil"/>
              <w:left w:val="single" w:sz="4" w:space="0" w:color="auto"/>
              <w:bottom w:val="single" w:sz="4" w:space="0" w:color="auto"/>
              <w:right w:val="single" w:sz="4" w:space="0" w:color="auto"/>
            </w:tcBorders>
            <w:vAlign w:val="center"/>
            <w:hideMark/>
          </w:tcPr>
          <w:p w14:paraId="23042BCC" w14:textId="77777777" w:rsidR="00BA1862" w:rsidRPr="00F662F8" w:rsidRDefault="00BA1862" w:rsidP="00BD1D9D">
            <w:pPr>
              <w:spacing w:after="0" w:line="240" w:lineRule="auto"/>
              <w:rPr>
                <w:rFonts w:eastAsia="Times New Roman" w:cstheme="minorHAnsi"/>
                <w:color w:val="000000"/>
                <w:sz w:val="24"/>
                <w:szCs w:val="24"/>
                <w:lang w:eastAsia="lt-LT"/>
              </w:rPr>
            </w:pPr>
          </w:p>
        </w:tc>
        <w:tc>
          <w:tcPr>
            <w:tcW w:w="6243" w:type="dxa"/>
            <w:tcBorders>
              <w:top w:val="nil"/>
              <w:left w:val="nil"/>
              <w:bottom w:val="single" w:sz="4" w:space="0" w:color="auto"/>
              <w:right w:val="single" w:sz="4" w:space="0" w:color="auto"/>
            </w:tcBorders>
            <w:hideMark/>
          </w:tcPr>
          <w:p w14:paraId="7210F358"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 xml:space="preserve">Turi palaikyti saugų visišką duomenų sunaikinimą nuotoliniu būdu visų tipų laikmenose, sunaikinant saugomus duomenis (HDD, SSD, NVMe, flash). </w:t>
            </w:r>
          </w:p>
        </w:tc>
        <w:tc>
          <w:tcPr>
            <w:tcW w:w="1699" w:type="dxa"/>
            <w:vMerge/>
            <w:tcBorders>
              <w:top w:val="nil"/>
              <w:left w:val="single" w:sz="4" w:space="0" w:color="auto"/>
              <w:bottom w:val="single" w:sz="4" w:space="0" w:color="auto"/>
              <w:right w:val="single" w:sz="4" w:space="0" w:color="auto"/>
            </w:tcBorders>
            <w:hideMark/>
          </w:tcPr>
          <w:p w14:paraId="0F5466B1" w14:textId="77777777" w:rsidR="00BA1862" w:rsidRPr="00F662F8" w:rsidRDefault="00BA1862" w:rsidP="00916D87">
            <w:pPr>
              <w:spacing w:after="0" w:line="240" w:lineRule="auto"/>
              <w:rPr>
                <w:rFonts w:eastAsia="Times New Roman" w:cstheme="minorHAnsi"/>
                <w:color w:val="000000"/>
                <w:sz w:val="24"/>
                <w:szCs w:val="24"/>
                <w:lang w:eastAsia="lt-LT"/>
              </w:rPr>
            </w:pPr>
          </w:p>
        </w:tc>
      </w:tr>
      <w:tr w:rsidR="00BA1862" w:rsidRPr="00F662F8" w14:paraId="4853A376" w14:textId="77777777" w:rsidTr="00916D87">
        <w:trPr>
          <w:trHeight w:val="767"/>
        </w:trPr>
        <w:tc>
          <w:tcPr>
            <w:tcW w:w="734" w:type="dxa"/>
            <w:vMerge/>
            <w:tcBorders>
              <w:top w:val="nil"/>
              <w:left w:val="single" w:sz="4" w:space="0" w:color="auto"/>
              <w:bottom w:val="single" w:sz="4" w:space="0" w:color="auto"/>
              <w:right w:val="single" w:sz="4" w:space="0" w:color="auto"/>
            </w:tcBorders>
            <w:vAlign w:val="center"/>
            <w:hideMark/>
          </w:tcPr>
          <w:p w14:paraId="3C757A59" w14:textId="77777777" w:rsidR="00BA1862" w:rsidRPr="00F662F8" w:rsidRDefault="00BA1862" w:rsidP="00BD1D9D">
            <w:pPr>
              <w:spacing w:after="0" w:line="240" w:lineRule="auto"/>
              <w:rPr>
                <w:rFonts w:eastAsia="Times New Roman" w:cstheme="minorHAnsi"/>
                <w:color w:val="000000"/>
                <w:sz w:val="24"/>
                <w:szCs w:val="24"/>
                <w:lang w:eastAsia="lt-LT"/>
              </w:rPr>
            </w:pPr>
          </w:p>
        </w:tc>
        <w:tc>
          <w:tcPr>
            <w:tcW w:w="1809" w:type="dxa"/>
            <w:vMerge/>
            <w:tcBorders>
              <w:top w:val="nil"/>
              <w:left w:val="single" w:sz="4" w:space="0" w:color="auto"/>
              <w:bottom w:val="single" w:sz="4" w:space="0" w:color="auto"/>
              <w:right w:val="single" w:sz="4" w:space="0" w:color="auto"/>
            </w:tcBorders>
            <w:vAlign w:val="center"/>
            <w:hideMark/>
          </w:tcPr>
          <w:p w14:paraId="01E36CBF" w14:textId="77777777" w:rsidR="00BA1862" w:rsidRPr="00F662F8" w:rsidRDefault="00BA1862" w:rsidP="00BD1D9D">
            <w:pPr>
              <w:spacing w:after="0" w:line="240" w:lineRule="auto"/>
              <w:rPr>
                <w:rFonts w:eastAsia="Times New Roman" w:cstheme="minorHAnsi"/>
                <w:color w:val="000000"/>
                <w:sz w:val="24"/>
                <w:szCs w:val="24"/>
                <w:lang w:eastAsia="lt-LT"/>
              </w:rPr>
            </w:pPr>
          </w:p>
        </w:tc>
        <w:tc>
          <w:tcPr>
            <w:tcW w:w="6243" w:type="dxa"/>
            <w:tcBorders>
              <w:top w:val="nil"/>
              <w:left w:val="nil"/>
              <w:bottom w:val="single" w:sz="4" w:space="0" w:color="auto"/>
              <w:right w:val="single" w:sz="4" w:space="0" w:color="auto"/>
            </w:tcBorders>
            <w:hideMark/>
          </w:tcPr>
          <w:p w14:paraId="0CCF88A6"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Turi palaikyti pilną sistemos nustatymų (įskaitant tinklo, Raid, HBA adapterius), bei sisteminio kodo atnaujinimų užrakinimą nuo neautorizuotų veiksmų, nepriklausomai nuo vartotojų teisių.</w:t>
            </w:r>
          </w:p>
        </w:tc>
        <w:tc>
          <w:tcPr>
            <w:tcW w:w="1699" w:type="dxa"/>
            <w:vMerge/>
            <w:tcBorders>
              <w:top w:val="nil"/>
              <w:left w:val="single" w:sz="4" w:space="0" w:color="auto"/>
              <w:bottom w:val="single" w:sz="4" w:space="0" w:color="auto"/>
              <w:right w:val="single" w:sz="4" w:space="0" w:color="auto"/>
            </w:tcBorders>
            <w:vAlign w:val="center"/>
            <w:hideMark/>
          </w:tcPr>
          <w:p w14:paraId="10B9F0B2" w14:textId="77777777" w:rsidR="00BA1862" w:rsidRPr="00F662F8" w:rsidRDefault="00BA1862" w:rsidP="00916D87">
            <w:pPr>
              <w:spacing w:after="0" w:line="240" w:lineRule="auto"/>
              <w:rPr>
                <w:rFonts w:eastAsia="Times New Roman" w:cstheme="minorHAnsi"/>
                <w:color w:val="000000"/>
                <w:sz w:val="24"/>
                <w:szCs w:val="24"/>
                <w:lang w:eastAsia="lt-LT"/>
              </w:rPr>
            </w:pPr>
          </w:p>
        </w:tc>
      </w:tr>
      <w:tr w:rsidR="00BA1862" w:rsidRPr="00F662F8" w14:paraId="3D87BEDB" w14:textId="77777777" w:rsidTr="00916D87">
        <w:trPr>
          <w:trHeight w:val="274"/>
        </w:trPr>
        <w:tc>
          <w:tcPr>
            <w:tcW w:w="734" w:type="dxa"/>
            <w:tcBorders>
              <w:top w:val="nil"/>
              <w:left w:val="single" w:sz="4" w:space="0" w:color="auto"/>
              <w:bottom w:val="single" w:sz="4" w:space="0" w:color="auto"/>
              <w:right w:val="single" w:sz="4" w:space="0" w:color="auto"/>
            </w:tcBorders>
          </w:tcPr>
          <w:p w14:paraId="4BB2C969" w14:textId="77777777" w:rsidR="00BA1862" w:rsidRPr="00F662F8" w:rsidRDefault="00BA1862" w:rsidP="00BD1D9D">
            <w:pPr>
              <w:spacing w:after="0" w:line="240" w:lineRule="auto"/>
              <w:rPr>
                <w:rFonts w:eastAsia="Times New Roman" w:cstheme="minorHAnsi"/>
                <w:color w:val="000000"/>
                <w:sz w:val="24"/>
                <w:szCs w:val="24"/>
                <w:lang w:eastAsia="lt-LT"/>
              </w:rPr>
            </w:pPr>
            <w:r>
              <w:rPr>
                <w:rFonts w:eastAsia="Times New Roman" w:cstheme="minorHAnsi"/>
                <w:color w:val="000000"/>
                <w:sz w:val="24"/>
                <w:szCs w:val="24"/>
                <w:lang w:eastAsia="lt-LT"/>
              </w:rPr>
              <w:t>15</w:t>
            </w:r>
          </w:p>
        </w:tc>
        <w:tc>
          <w:tcPr>
            <w:tcW w:w="1809" w:type="dxa"/>
            <w:tcBorders>
              <w:top w:val="nil"/>
              <w:left w:val="nil"/>
              <w:bottom w:val="single" w:sz="4" w:space="0" w:color="auto"/>
              <w:right w:val="single" w:sz="4" w:space="0" w:color="auto"/>
            </w:tcBorders>
          </w:tcPr>
          <w:p w14:paraId="24E593B8"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Programinė įranga</w:t>
            </w:r>
          </w:p>
        </w:tc>
        <w:tc>
          <w:tcPr>
            <w:tcW w:w="6243" w:type="dxa"/>
            <w:tcBorders>
              <w:top w:val="nil"/>
              <w:left w:val="nil"/>
              <w:bottom w:val="single" w:sz="4" w:space="0" w:color="auto"/>
              <w:right w:val="single" w:sz="4" w:space="0" w:color="auto"/>
            </w:tcBorders>
          </w:tcPr>
          <w:p w14:paraId="1660B3C4"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Turi būti pateikta Red Hat Enterprise licencija. Licencijų kiekis turi būti suderintas su esama tarnybinės stoties specifikacija. Turi būti įtrauktas 5 metų gamintojo Premium tipo palaikymas.</w:t>
            </w:r>
          </w:p>
        </w:tc>
        <w:tc>
          <w:tcPr>
            <w:tcW w:w="1699" w:type="dxa"/>
            <w:tcBorders>
              <w:top w:val="nil"/>
              <w:left w:val="nil"/>
              <w:bottom w:val="single" w:sz="4" w:space="0" w:color="auto"/>
              <w:right w:val="single" w:sz="4" w:space="0" w:color="auto"/>
            </w:tcBorders>
          </w:tcPr>
          <w:p w14:paraId="16DD2957" w14:textId="77777777" w:rsidR="00BA1862" w:rsidRPr="00F662F8" w:rsidRDefault="00BA1862" w:rsidP="00916D87">
            <w:pPr>
              <w:spacing w:after="0" w:line="240" w:lineRule="auto"/>
              <w:jc w:val="center"/>
              <w:rPr>
                <w:rFonts w:eastAsia="Times New Roman" w:cstheme="minorHAnsi"/>
                <w:color w:val="000000"/>
                <w:sz w:val="24"/>
                <w:szCs w:val="24"/>
                <w:lang w:eastAsia="lt-LT"/>
              </w:rPr>
            </w:pPr>
          </w:p>
        </w:tc>
      </w:tr>
      <w:tr w:rsidR="00BA1862" w:rsidRPr="00F662F8" w14:paraId="079ECA86" w14:textId="77777777" w:rsidTr="00916D87">
        <w:trPr>
          <w:trHeight w:val="767"/>
        </w:trPr>
        <w:tc>
          <w:tcPr>
            <w:tcW w:w="734" w:type="dxa"/>
            <w:tcBorders>
              <w:top w:val="nil"/>
              <w:left w:val="single" w:sz="4" w:space="0" w:color="auto"/>
              <w:bottom w:val="single" w:sz="4" w:space="0" w:color="auto"/>
              <w:right w:val="single" w:sz="4" w:space="0" w:color="auto"/>
            </w:tcBorders>
            <w:hideMark/>
          </w:tcPr>
          <w:p w14:paraId="1BB19FA4"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16</w:t>
            </w:r>
          </w:p>
        </w:tc>
        <w:tc>
          <w:tcPr>
            <w:tcW w:w="1809" w:type="dxa"/>
            <w:tcBorders>
              <w:top w:val="nil"/>
              <w:left w:val="nil"/>
              <w:bottom w:val="single" w:sz="4" w:space="0" w:color="auto"/>
              <w:right w:val="single" w:sz="4" w:space="0" w:color="auto"/>
            </w:tcBorders>
            <w:hideMark/>
          </w:tcPr>
          <w:p w14:paraId="08462661"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Komplektacija</w:t>
            </w:r>
          </w:p>
        </w:tc>
        <w:tc>
          <w:tcPr>
            <w:tcW w:w="6243" w:type="dxa"/>
            <w:tcBorders>
              <w:top w:val="nil"/>
              <w:left w:val="nil"/>
              <w:bottom w:val="single" w:sz="4" w:space="0" w:color="auto"/>
              <w:right w:val="single" w:sz="4" w:space="0" w:color="auto"/>
            </w:tcBorders>
            <w:hideMark/>
          </w:tcPr>
          <w:p w14:paraId="063B1BE0"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 xml:space="preserve">Turi būti pateikti visi reikiami jungiamieji kabeliai, jungtys, tvirtinimo detalės, bėgiai, kabelių montavimo alkūnė, bei priemonės, skirtos įrangos pajungimui ir montavimui į 19“ montažinę spintą, bei apjungimui su tinko įranga.  </w:t>
            </w:r>
          </w:p>
        </w:tc>
        <w:tc>
          <w:tcPr>
            <w:tcW w:w="1699" w:type="dxa"/>
            <w:tcBorders>
              <w:top w:val="nil"/>
              <w:left w:val="nil"/>
              <w:bottom w:val="single" w:sz="4" w:space="0" w:color="auto"/>
              <w:right w:val="single" w:sz="4" w:space="0" w:color="auto"/>
            </w:tcBorders>
            <w:hideMark/>
          </w:tcPr>
          <w:p w14:paraId="24A9228A" w14:textId="77777777" w:rsidR="00BA1862" w:rsidRPr="00F662F8" w:rsidRDefault="00BA1862" w:rsidP="00916D87">
            <w:pPr>
              <w:spacing w:after="0" w:line="240" w:lineRule="auto"/>
              <w:jc w:val="center"/>
              <w:rPr>
                <w:rFonts w:eastAsia="Times New Roman" w:cstheme="minorHAnsi"/>
                <w:color w:val="000000"/>
                <w:sz w:val="24"/>
                <w:szCs w:val="24"/>
                <w:lang w:eastAsia="lt-LT"/>
              </w:rPr>
            </w:pPr>
            <w:r w:rsidRPr="00F662F8">
              <w:rPr>
                <w:rFonts w:eastAsia="Times New Roman" w:cstheme="minorHAnsi"/>
                <w:color w:val="000000"/>
                <w:sz w:val="24"/>
                <w:szCs w:val="24"/>
                <w:lang w:eastAsia="lt-LT"/>
              </w:rPr>
              <w:t> </w:t>
            </w:r>
          </w:p>
        </w:tc>
      </w:tr>
      <w:tr w:rsidR="00BA1862" w:rsidRPr="00F662F8" w14:paraId="649C36CF" w14:textId="77777777" w:rsidTr="00916D87">
        <w:trPr>
          <w:trHeight w:val="992"/>
        </w:trPr>
        <w:tc>
          <w:tcPr>
            <w:tcW w:w="734" w:type="dxa"/>
            <w:tcBorders>
              <w:top w:val="nil"/>
              <w:left w:val="single" w:sz="4" w:space="0" w:color="auto"/>
              <w:bottom w:val="single" w:sz="4" w:space="0" w:color="auto"/>
              <w:right w:val="single" w:sz="4" w:space="0" w:color="auto"/>
            </w:tcBorders>
            <w:hideMark/>
          </w:tcPr>
          <w:p w14:paraId="71CC279B"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17</w:t>
            </w:r>
          </w:p>
        </w:tc>
        <w:tc>
          <w:tcPr>
            <w:tcW w:w="1809" w:type="dxa"/>
            <w:tcBorders>
              <w:top w:val="nil"/>
              <w:left w:val="nil"/>
              <w:bottom w:val="single" w:sz="4" w:space="0" w:color="auto"/>
              <w:right w:val="single" w:sz="4" w:space="0" w:color="auto"/>
            </w:tcBorders>
            <w:hideMark/>
          </w:tcPr>
          <w:p w14:paraId="4018569A"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Suderinamumas</w:t>
            </w:r>
          </w:p>
        </w:tc>
        <w:tc>
          <w:tcPr>
            <w:tcW w:w="6243" w:type="dxa"/>
            <w:tcBorders>
              <w:top w:val="nil"/>
              <w:left w:val="nil"/>
              <w:bottom w:val="single" w:sz="4" w:space="0" w:color="auto"/>
              <w:right w:val="single" w:sz="4" w:space="0" w:color="auto"/>
            </w:tcBorders>
            <w:hideMark/>
          </w:tcPr>
          <w:p w14:paraId="00BF1E00"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Siūlomas serverio modelis privalo būti sertifikuotas darbui su operacinėmis sistemomis Microsoft Windows Server (Standard /Enterprise/Datacenter Editions) 32/64-bit, Red Hat Enterprise, SUSE LINUX Enterprise Server, VMware vSphere. Informacija apie sertifikavimą turi būti pateikta oficialiame gamintojo tinklapyje.</w:t>
            </w:r>
          </w:p>
        </w:tc>
        <w:tc>
          <w:tcPr>
            <w:tcW w:w="1699" w:type="dxa"/>
            <w:tcBorders>
              <w:top w:val="nil"/>
              <w:left w:val="nil"/>
              <w:bottom w:val="single" w:sz="4" w:space="0" w:color="auto"/>
              <w:right w:val="single" w:sz="4" w:space="0" w:color="auto"/>
            </w:tcBorders>
            <w:hideMark/>
          </w:tcPr>
          <w:p w14:paraId="3EEEA77D" w14:textId="77777777" w:rsidR="00BA1862" w:rsidRPr="00F662F8" w:rsidRDefault="00BA1862" w:rsidP="00916D87">
            <w:pPr>
              <w:spacing w:after="0" w:line="240" w:lineRule="auto"/>
              <w:jc w:val="center"/>
              <w:rPr>
                <w:rFonts w:eastAsia="Times New Roman" w:cstheme="minorHAnsi"/>
                <w:color w:val="000000"/>
                <w:sz w:val="24"/>
                <w:szCs w:val="24"/>
                <w:lang w:eastAsia="lt-LT"/>
              </w:rPr>
            </w:pPr>
            <w:r w:rsidRPr="00F662F8">
              <w:rPr>
                <w:rFonts w:eastAsia="Times New Roman" w:cstheme="minorHAnsi"/>
                <w:color w:val="000000"/>
                <w:sz w:val="24"/>
                <w:szCs w:val="24"/>
                <w:lang w:eastAsia="lt-LT"/>
              </w:rPr>
              <w:t> </w:t>
            </w:r>
          </w:p>
        </w:tc>
      </w:tr>
      <w:tr w:rsidR="00BA1862" w:rsidRPr="00F662F8" w14:paraId="6B2C3B4A" w14:textId="77777777" w:rsidTr="00916D87">
        <w:trPr>
          <w:trHeight w:val="2636"/>
        </w:trPr>
        <w:tc>
          <w:tcPr>
            <w:tcW w:w="734" w:type="dxa"/>
            <w:tcBorders>
              <w:top w:val="nil"/>
              <w:left w:val="single" w:sz="4" w:space="0" w:color="auto"/>
              <w:bottom w:val="single" w:sz="4" w:space="0" w:color="auto"/>
              <w:right w:val="single" w:sz="4" w:space="0" w:color="auto"/>
            </w:tcBorders>
            <w:hideMark/>
          </w:tcPr>
          <w:p w14:paraId="57EF84AE"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18</w:t>
            </w:r>
          </w:p>
        </w:tc>
        <w:tc>
          <w:tcPr>
            <w:tcW w:w="1809" w:type="dxa"/>
            <w:tcBorders>
              <w:top w:val="nil"/>
              <w:left w:val="single" w:sz="4" w:space="0" w:color="auto"/>
              <w:bottom w:val="single" w:sz="4" w:space="0" w:color="auto"/>
              <w:right w:val="single" w:sz="4" w:space="0" w:color="auto"/>
            </w:tcBorders>
            <w:hideMark/>
          </w:tcPr>
          <w:p w14:paraId="1AC1ED1E"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Garantinė techninė priežiūra</w:t>
            </w:r>
          </w:p>
        </w:tc>
        <w:tc>
          <w:tcPr>
            <w:tcW w:w="6243" w:type="dxa"/>
            <w:tcBorders>
              <w:top w:val="single" w:sz="4" w:space="0" w:color="auto"/>
              <w:left w:val="nil"/>
              <w:bottom w:val="single" w:sz="4" w:space="0" w:color="auto"/>
              <w:right w:val="single" w:sz="4" w:space="0" w:color="auto"/>
            </w:tcBorders>
          </w:tcPr>
          <w:p w14:paraId="1CB24C93"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 xml:space="preserve">Visai pateikiamai aparatinei ir programinei įrangai turi būti suteikiamos įrangos gamintojo garantinės ir techninės pagalbos paslaugos </w:t>
            </w:r>
            <w:r>
              <w:rPr>
                <w:rFonts w:eastAsia="Times New Roman" w:cstheme="minorHAnsi"/>
                <w:color w:val="000000"/>
                <w:sz w:val="24"/>
                <w:szCs w:val="24"/>
                <w:lang w:eastAsia="lt-LT"/>
              </w:rPr>
              <w:t>penkiems</w:t>
            </w:r>
            <w:r w:rsidRPr="00F662F8">
              <w:rPr>
                <w:rFonts w:eastAsia="Times New Roman" w:cstheme="minorHAnsi"/>
                <w:color w:val="000000"/>
                <w:sz w:val="24"/>
                <w:szCs w:val="24"/>
                <w:lang w:eastAsia="lt-LT"/>
              </w:rPr>
              <w:t xml:space="preserve"> (5) metams nuo įrangos pristatymo perkančiajai organizacijai. Turi būti galimybė </w:t>
            </w:r>
            <w:r>
              <w:rPr>
                <w:rFonts w:eastAsia="Times New Roman" w:cstheme="minorHAnsi"/>
                <w:color w:val="000000"/>
                <w:sz w:val="24"/>
                <w:szCs w:val="24"/>
                <w:lang w:eastAsia="lt-LT"/>
              </w:rPr>
              <w:t>pratęsti</w:t>
            </w:r>
            <w:r w:rsidRPr="00F662F8">
              <w:rPr>
                <w:rFonts w:eastAsia="Times New Roman" w:cstheme="minorHAnsi"/>
                <w:color w:val="000000"/>
                <w:sz w:val="24"/>
                <w:szCs w:val="24"/>
                <w:lang w:eastAsia="lt-LT"/>
              </w:rPr>
              <w:t xml:space="preserve"> techninės pagalbos paslaugą </w:t>
            </w:r>
            <w:r>
              <w:rPr>
                <w:rFonts w:eastAsia="Times New Roman" w:cstheme="minorHAnsi"/>
                <w:color w:val="000000"/>
                <w:sz w:val="24"/>
                <w:szCs w:val="24"/>
                <w:lang w:eastAsia="lt-LT"/>
              </w:rPr>
              <w:t xml:space="preserve">iki </w:t>
            </w:r>
            <w:r w:rsidRPr="00F662F8">
              <w:rPr>
                <w:rFonts w:eastAsia="Times New Roman" w:cstheme="minorHAnsi"/>
                <w:color w:val="000000"/>
                <w:sz w:val="24"/>
                <w:szCs w:val="24"/>
                <w:lang w:eastAsia="lt-LT"/>
              </w:rPr>
              <w:t>7 met</w:t>
            </w:r>
            <w:r>
              <w:rPr>
                <w:rFonts w:eastAsia="Times New Roman" w:cstheme="minorHAnsi"/>
                <w:color w:val="000000"/>
                <w:sz w:val="24"/>
                <w:szCs w:val="24"/>
                <w:lang w:eastAsia="lt-LT"/>
              </w:rPr>
              <w:t>ų.</w:t>
            </w:r>
          </w:p>
          <w:p w14:paraId="7F307179" w14:textId="77777777" w:rsidR="00BA1862" w:rsidRPr="00F662F8" w:rsidRDefault="00BA1862" w:rsidP="00916D87">
            <w:pPr>
              <w:spacing w:after="0" w:line="240" w:lineRule="auto"/>
              <w:jc w:val="both"/>
              <w:rPr>
                <w:rFonts w:eastAsia="Times New Roman" w:cstheme="minorHAnsi"/>
                <w:color w:val="000000"/>
                <w:sz w:val="24"/>
                <w:szCs w:val="24"/>
                <w:lang w:eastAsia="lt-LT"/>
              </w:rPr>
            </w:pPr>
          </w:p>
          <w:p w14:paraId="007E3981"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Gedimų registravimas 7 dienas per savaitę, 24 valandas per parą, įskaitant ir šventines dienas. Jei problemos nepavyksta išspręsti nuotoliniu būdu, gamintojo serviso centro specialistas ir keitimui reikalingi komponentai kritiniams sutrikimams šalinti turi atvykti į įrangos buvimo vietą ne vėliau kaip kitą darbo dieną.</w:t>
            </w:r>
          </w:p>
          <w:p w14:paraId="0570B7CC" w14:textId="77777777" w:rsidR="00BA1862" w:rsidRPr="00F662F8" w:rsidRDefault="00BA1862" w:rsidP="00916D87">
            <w:pPr>
              <w:spacing w:after="0" w:line="240" w:lineRule="auto"/>
              <w:jc w:val="both"/>
              <w:rPr>
                <w:rFonts w:eastAsia="Times New Roman" w:cstheme="minorHAnsi"/>
                <w:color w:val="000000"/>
                <w:sz w:val="24"/>
                <w:szCs w:val="24"/>
                <w:lang w:eastAsia="lt-LT"/>
              </w:rPr>
            </w:pPr>
          </w:p>
          <w:p w14:paraId="5047CDD9"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Gamintojo garantuojamas nemokamas dalių tiekimas ir nemokami remonto darbai procesorių, atminties, diskų, maitinimo šaltinių, aušinimo modulių pakeitimas, jei įvyko išankstinis įspėjimas apie galimą jų gedimą (angl. „prefailure warranty“).</w:t>
            </w:r>
          </w:p>
          <w:p w14:paraId="6DB0E0C5" w14:textId="77777777" w:rsidR="00BA1862" w:rsidRPr="00F662F8" w:rsidRDefault="00BA1862" w:rsidP="00916D87">
            <w:pPr>
              <w:spacing w:after="0" w:line="240" w:lineRule="auto"/>
              <w:jc w:val="both"/>
              <w:rPr>
                <w:rFonts w:eastAsia="Times New Roman" w:cstheme="minorHAnsi"/>
                <w:color w:val="000000"/>
                <w:sz w:val="24"/>
                <w:szCs w:val="24"/>
                <w:lang w:eastAsia="lt-LT"/>
              </w:rPr>
            </w:pPr>
          </w:p>
          <w:p w14:paraId="35ABC57A"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Visų įsigyjamų komponentų garantinei ir techninei priežiūrai, visiems komponentams sutrikimai ir gedimai registruojami tiesiogiai vieningoje įrangos gamintojo pagalbos tarnyboje (telefonu, elektroniniu paštu, internetinėje sistemoje).</w:t>
            </w:r>
          </w:p>
          <w:p w14:paraId="19C39FFB" w14:textId="77777777" w:rsidR="00BA1862" w:rsidRPr="00F662F8" w:rsidRDefault="00BA1862" w:rsidP="00916D87">
            <w:pPr>
              <w:spacing w:after="0" w:line="240" w:lineRule="auto"/>
              <w:jc w:val="both"/>
              <w:rPr>
                <w:rFonts w:eastAsia="Times New Roman" w:cstheme="minorHAnsi"/>
                <w:color w:val="000000"/>
                <w:sz w:val="24"/>
                <w:szCs w:val="24"/>
                <w:lang w:eastAsia="lt-LT"/>
              </w:rPr>
            </w:pPr>
          </w:p>
          <w:p w14:paraId="00DD1EAE"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 xml:space="preserve">Visai naudojamos programinės ir techninės įrangos priežiūrai turi būti taikomas „vieno langelio principas“  –  visiems komponentams (aparatinei ir programinei įrangai šiame pasiūlyme), sutrikimai ir gedimai registruojami tiesiogiai </w:t>
            </w:r>
            <w:r w:rsidRPr="00F662F8">
              <w:rPr>
                <w:rFonts w:eastAsia="Times New Roman" w:cstheme="minorHAnsi"/>
                <w:color w:val="000000"/>
                <w:sz w:val="24"/>
                <w:szCs w:val="24"/>
                <w:lang w:eastAsia="lt-LT"/>
              </w:rPr>
              <w:lastRenderedPageBreak/>
              <w:t>įrangos gamintojo pagalbos tarnyboje, sprendžiami to paties gamintojo inžinierių.</w:t>
            </w:r>
          </w:p>
          <w:p w14:paraId="3DEE990E" w14:textId="77777777" w:rsidR="00BA1862" w:rsidRPr="00F662F8" w:rsidRDefault="00BA1862" w:rsidP="00916D87">
            <w:pPr>
              <w:spacing w:after="0" w:line="240" w:lineRule="auto"/>
              <w:jc w:val="both"/>
              <w:rPr>
                <w:rFonts w:eastAsia="Times New Roman" w:cstheme="minorHAnsi"/>
                <w:color w:val="000000"/>
                <w:sz w:val="24"/>
                <w:szCs w:val="24"/>
                <w:lang w:eastAsia="lt-LT"/>
              </w:rPr>
            </w:pPr>
          </w:p>
          <w:p w14:paraId="05728F7F"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 xml:space="preserve">Gamintojo pagalbos tarnyba turi turėti paslaugą (be papildomo apmokėjimo) – rinkti (gauti) įrangos veiklos ataskaitas tiesiogiai automatiškai saugiu šifruotu dvipusiu interneto kanalu, įskaitant greitaveikos, veiklos duomenis (analizuoti, stebėti, kaupti veiklos duomenis), bei jungtis prie stebimos sistemos problemos sprendimui. Nesant tokios paslaugos galimybei – visa įranga turi būti pasiūlyta su paslaugos lygiu, užtikrinančiu sugedusių mazgų pakeitimą per 2 valandas bet kurią metų dieną (24/7). </w:t>
            </w:r>
          </w:p>
          <w:p w14:paraId="16F7BF2D" w14:textId="77777777" w:rsidR="00BA1862" w:rsidRPr="00F662F8" w:rsidRDefault="00BA1862" w:rsidP="00916D87">
            <w:pPr>
              <w:spacing w:after="0" w:line="240" w:lineRule="auto"/>
              <w:jc w:val="both"/>
              <w:rPr>
                <w:rFonts w:eastAsia="Times New Roman" w:cstheme="minorHAnsi"/>
                <w:color w:val="000000"/>
                <w:sz w:val="24"/>
                <w:szCs w:val="24"/>
                <w:lang w:eastAsia="lt-LT"/>
              </w:rPr>
            </w:pPr>
          </w:p>
          <w:p w14:paraId="396DD220"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Visi aukščiau išvardinti šio punkto reikalavimai privalo būti garantuojami vieno gamintojo bei teikiami centralizuotai.</w:t>
            </w:r>
          </w:p>
          <w:p w14:paraId="4522F8FB" w14:textId="77777777" w:rsidR="00BA1862" w:rsidRPr="00F662F8" w:rsidRDefault="00BA1862" w:rsidP="00916D87">
            <w:pPr>
              <w:spacing w:after="0" w:line="240" w:lineRule="auto"/>
              <w:jc w:val="both"/>
              <w:rPr>
                <w:rFonts w:eastAsia="Times New Roman" w:cstheme="minorHAnsi"/>
                <w:color w:val="000000"/>
                <w:sz w:val="24"/>
                <w:szCs w:val="24"/>
                <w:lang w:eastAsia="lt-LT"/>
              </w:rPr>
            </w:pPr>
          </w:p>
          <w:p w14:paraId="69B6897A"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Programinei įrangai, kuri yra sudedamoji  dalis, esant galiojančiai techninės pagalbos ir programinės įrangos versijų naujumo (angl. „software maintenance“)_ sutarčiai - turi būti galimybė naudoti naujausias versijas be papildomo pirkimo.</w:t>
            </w:r>
          </w:p>
          <w:p w14:paraId="1AC4F46D"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 xml:space="preserve"> </w:t>
            </w:r>
          </w:p>
          <w:p w14:paraId="10E1AAAE"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Būtina pateikti nuorodą į gamintojo internetinę svetainę, kuri įgalina registruotus vartotojus serijinio numerio pagalba patikrinti suteiktą gamintojo garantiją.</w:t>
            </w:r>
          </w:p>
        </w:tc>
        <w:tc>
          <w:tcPr>
            <w:tcW w:w="1699" w:type="dxa"/>
            <w:tcBorders>
              <w:top w:val="nil"/>
              <w:left w:val="single" w:sz="4" w:space="0" w:color="auto"/>
              <w:bottom w:val="single" w:sz="4" w:space="0" w:color="auto"/>
              <w:right w:val="single" w:sz="4" w:space="0" w:color="auto"/>
            </w:tcBorders>
            <w:hideMark/>
          </w:tcPr>
          <w:p w14:paraId="3C5D87B7" w14:textId="77777777" w:rsidR="00BA1862" w:rsidRPr="00F662F8" w:rsidRDefault="00BA1862" w:rsidP="00916D87">
            <w:pPr>
              <w:spacing w:after="0" w:line="240" w:lineRule="auto"/>
              <w:jc w:val="center"/>
              <w:rPr>
                <w:rFonts w:eastAsia="Times New Roman" w:cstheme="minorHAnsi"/>
                <w:color w:val="000000"/>
                <w:sz w:val="24"/>
                <w:szCs w:val="24"/>
                <w:lang w:eastAsia="lt-LT"/>
              </w:rPr>
            </w:pPr>
            <w:r w:rsidRPr="00F662F8">
              <w:rPr>
                <w:rFonts w:eastAsia="Times New Roman" w:cstheme="minorHAnsi"/>
                <w:color w:val="000000"/>
                <w:sz w:val="24"/>
                <w:szCs w:val="24"/>
                <w:lang w:eastAsia="lt-LT"/>
              </w:rPr>
              <w:lastRenderedPageBreak/>
              <w:t> </w:t>
            </w:r>
          </w:p>
        </w:tc>
      </w:tr>
      <w:tr w:rsidR="00BA1862" w:rsidRPr="00F662F8" w14:paraId="13669F6E" w14:textId="77777777" w:rsidTr="00916D87">
        <w:trPr>
          <w:trHeight w:val="1544"/>
        </w:trPr>
        <w:tc>
          <w:tcPr>
            <w:tcW w:w="734" w:type="dxa"/>
            <w:tcBorders>
              <w:top w:val="nil"/>
              <w:left w:val="single" w:sz="4" w:space="0" w:color="auto"/>
              <w:bottom w:val="single" w:sz="4" w:space="0" w:color="auto"/>
              <w:right w:val="single" w:sz="4" w:space="0" w:color="auto"/>
            </w:tcBorders>
            <w:hideMark/>
          </w:tcPr>
          <w:p w14:paraId="1AEB6E7C"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19</w:t>
            </w:r>
          </w:p>
        </w:tc>
        <w:tc>
          <w:tcPr>
            <w:tcW w:w="1809" w:type="dxa"/>
            <w:tcBorders>
              <w:top w:val="nil"/>
              <w:left w:val="single" w:sz="4" w:space="0" w:color="auto"/>
              <w:bottom w:val="single" w:sz="4" w:space="0" w:color="auto"/>
              <w:right w:val="single" w:sz="4" w:space="0" w:color="auto"/>
            </w:tcBorders>
            <w:hideMark/>
          </w:tcPr>
          <w:p w14:paraId="54FA5467" w14:textId="77777777" w:rsidR="00BA1862" w:rsidRPr="00F662F8" w:rsidRDefault="00BA1862" w:rsidP="00BD1D9D">
            <w:pPr>
              <w:spacing w:after="0" w:line="240" w:lineRule="auto"/>
              <w:rPr>
                <w:rFonts w:eastAsia="Times New Roman" w:cstheme="minorHAnsi"/>
                <w:color w:val="000000"/>
                <w:sz w:val="24"/>
                <w:szCs w:val="24"/>
                <w:lang w:eastAsia="lt-LT"/>
              </w:rPr>
            </w:pPr>
            <w:r w:rsidRPr="00F662F8">
              <w:rPr>
                <w:rFonts w:eastAsia="Times New Roman" w:cstheme="minorHAnsi"/>
                <w:color w:val="000000"/>
                <w:sz w:val="24"/>
                <w:szCs w:val="24"/>
                <w:lang w:eastAsia="lt-LT"/>
              </w:rPr>
              <w:t>Surinkimo reikalavimai</w:t>
            </w:r>
          </w:p>
        </w:tc>
        <w:tc>
          <w:tcPr>
            <w:tcW w:w="6243" w:type="dxa"/>
            <w:tcBorders>
              <w:top w:val="single" w:sz="4" w:space="0" w:color="auto"/>
              <w:left w:val="nil"/>
              <w:bottom w:val="single" w:sz="4" w:space="0" w:color="auto"/>
              <w:right w:val="single" w:sz="4" w:space="0" w:color="auto"/>
            </w:tcBorders>
            <w:hideMark/>
          </w:tcPr>
          <w:p w14:paraId="2284C697" w14:textId="77777777" w:rsidR="00BA1862" w:rsidRPr="00F662F8" w:rsidRDefault="00BA1862" w:rsidP="00916D87">
            <w:pPr>
              <w:spacing w:after="0" w:line="240" w:lineRule="auto"/>
              <w:jc w:val="both"/>
              <w:rPr>
                <w:rFonts w:eastAsia="Times New Roman" w:cstheme="minorHAnsi"/>
                <w:color w:val="000000"/>
                <w:sz w:val="24"/>
                <w:szCs w:val="24"/>
                <w:lang w:eastAsia="lt-LT"/>
              </w:rPr>
            </w:pPr>
            <w:r w:rsidRPr="00F662F8">
              <w:rPr>
                <w:rFonts w:eastAsia="Times New Roman" w:cstheme="minorHAnsi"/>
                <w:color w:val="000000"/>
                <w:sz w:val="24"/>
                <w:szCs w:val="24"/>
                <w:lang w:eastAsia="lt-LT"/>
              </w:rPr>
              <w:t>Visos komplektuojamos įrenginio dalys privalo būti komplektuojamos įrenginio gamintojo ir pažymėtos gamintojo gamykliniais kodais.</w:t>
            </w:r>
          </w:p>
        </w:tc>
        <w:tc>
          <w:tcPr>
            <w:tcW w:w="1699" w:type="dxa"/>
            <w:tcBorders>
              <w:top w:val="nil"/>
              <w:left w:val="single" w:sz="4" w:space="0" w:color="auto"/>
              <w:bottom w:val="single" w:sz="4" w:space="0" w:color="auto"/>
              <w:right w:val="single" w:sz="4" w:space="0" w:color="auto"/>
            </w:tcBorders>
            <w:hideMark/>
          </w:tcPr>
          <w:p w14:paraId="5AC35A28" w14:textId="77777777" w:rsidR="00BA1862" w:rsidRPr="00F662F8" w:rsidRDefault="00BA1862" w:rsidP="00916D87">
            <w:pPr>
              <w:spacing w:after="0" w:line="240" w:lineRule="auto"/>
              <w:jc w:val="center"/>
              <w:rPr>
                <w:rFonts w:eastAsia="Times New Roman" w:cstheme="minorHAnsi"/>
                <w:color w:val="000000"/>
                <w:sz w:val="24"/>
                <w:szCs w:val="24"/>
                <w:lang w:eastAsia="lt-LT"/>
              </w:rPr>
            </w:pPr>
            <w:r w:rsidRPr="00F662F8">
              <w:rPr>
                <w:rFonts w:eastAsia="Times New Roman" w:cstheme="minorHAnsi"/>
                <w:color w:val="000000"/>
                <w:sz w:val="24"/>
                <w:szCs w:val="24"/>
                <w:lang w:eastAsia="lt-LT"/>
              </w:rPr>
              <w:t> </w:t>
            </w:r>
          </w:p>
        </w:tc>
      </w:tr>
    </w:tbl>
    <w:p w14:paraId="7FFF25F2" w14:textId="0FD8F708" w:rsidR="00BA1862" w:rsidRPr="00F662F8" w:rsidRDefault="00BA1862" w:rsidP="004B7CF6">
      <w:pPr>
        <w:rPr>
          <w:rFonts w:cstheme="minorHAnsi"/>
          <w:b/>
          <w:bCs/>
          <w:sz w:val="24"/>
          <w:szCs w:val="24"/>
        </w:rPr>
      </w:pPr>
    </w:p>
    <w:p w14:paraId="1EAD0CA7" w14:textId="77777777" w:rsidR="00D41484" w:rsidRDefault="00D41484"/>
    <w:sectPr w:rsidR="00D41484" w:rsidSect="00BA1862">
      <w:headerReference w:type="even" r:id="rId10"/>
      <w:headerReference w:type="first" r:id="rId11"/>
      <w:pgSz w:w="11906" w:h="16838" w:code="9"/>
      <w:pgMar w:top="1134" w:right="567" w:bottom="1134"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68E1E" w14:textId="77777777" w:rsidR="00303B26" w:rsidRDefault="00303B26">
      <w:pPr>
        <w:spacing w:after="0" w:line="240" w:lineRule="auto"/>
      </w:pPr>
      <w:r>
        <w:separator/>
      </w:r>
    </w:p>
  </w:endnote>
  <w:endnote w:type="continuationSeparator" w:id="0">
    <w:p w14:paraId="0883A28E" w14:textId="77777777" w:rsidR="00303B26" w:rsidRDefault="00303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02D7F" w14:textId="77777777" w:rsidR="00303B26" w:rsidRDefault="00303B26">
      <w:pPr>
        <w:spacing w:after="0" w:line="240" w:lineRule="auto"/>
      </w:pPr>
      <w:r>
        <w:separator/>
      </w:r>
    </w:p>
  </w:footnote>
  <w:footnote w:type="continuationSeparator" w:id="0">
    <w:p w14:paraId="32E98A41" w14:textId="77777777" w:rsidR="00303B26" w:rsidRDefault="00303B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4C469" w14:textId="77777777" w:rsidR="00BA1862" w:rsidRDefault="00BA1862">
    <w:pPr>
      <w:pStyle w:val="Header"/>
    </w:pPr>
    <w:r>
      <w:rPr>
        <w:noProof/>
        <w14:ligatures w14:val="standardContextual"/>
      </w:rPr>
      <mc:AlternateContent>
        <mc:Choice Requires="wps">
          <w:drawing>
            <wp:anchor distT="0" distB="0" distL="0" distR="0" simplePos="0" relativeHeight="251658240" behindDoc="0" locked="0" layoutInCell="1" allowOverlap="1" wp14:anchorId="20E58453" wp14:editId="20122C63">
              <wp:simplePos x="635" y="635"/>
              <wp:positionH relativeFrom="page">
                <wp:align>left</wp:align>
              </wp:positionH>
              <wp:positionV relativeFrom="page">
                <wp:align>top</wp:align>
              </wp:positionV>
              <wp:extent cx="443865" cy="443865"/>
              <wp:effectExtent l="0" t="0" r="13970" b="12065"/>
              <wp:wrapNone/>
              <wp:docPr id="2" name="Text Box 2" descr="Dell Customer Communication -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5F9FC2" w14:textId="77777777" w:rsidR="00BA1862" w:rsidRPr="00B11B1F" w:rsidRDefault="00BA1862" w:rsidP="00B11B1F">
                          <w:pPr>
                            <w:spacing w:after="0"/>
                            <w:rPr>
                              <w:rFonts w:ascii="Calibri" w:eastAsia="Calibri" w:hAnsi="Calibri" w:cs="Calibri"/>
                              <w:noProof/>
                              <w:color w:val="737373"/>
                              <w:sz w:val="20"/>
                              <w:szCs w:val="20"/>
                            </w:rPr>
                          </w:pPr>
                          <w:r w:rsidRPr="00B11B1F">
                            <w:rPr>
                              <w:rFonts w:ascii="Calibri" w:eastAsia="Calibri" w:hAnsi="Calibri" w:cs="Calibri"/>
                              <w:noProof/>
                              <w:color w:val="737373"/>
                              <w:sz w:val="20"/>
                              <w:szCs w:val="20"/>
                            </w:rPr>
                            <w:t>Dell Customer Communication - 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0E58453" id="_x0000_t202" coordsize="21600,21600" o:spt="202" path="m,l,21600r21600,l21600,xe">
              <v:stroke joinstyle="miter"/>
              <v:path gradientshapeok="t" o:connecttype="rect"/>
            </v:shapetype>
            <v:shape id="Text Box 2" o:spid="_x0000_s1026" type="#_x0000_t202" alt="Dell Customer Communication - Confidential"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7A5F9FC2" w14:textId="77777777" w:rsidR="00BA1862" w:rsidRPr="00B11B1F" w:rsidRDefault="00BA1862" w:rsidP="00B11B1F">
                    <w:pPr>
                      <w:spacing w:after="0"/>
                      <w:rPr>
                        <w:rFonts w:ascii="Calibri" w:eastAsia="Calibri" w:hAnsi="Calibri" w:cs="Calibri"/>
                        <w:noProof/>
                        <w:color w:val="737373"/>
                        <w:sz w:val="20"/>
                        <w:szCs w:val="20"/>
                      </w:rPr>
                    </w:pPr>
                    <w:r w:rsidRPr="00B11B1F">
                      <w:rPr>
                        <w:rFonts w:ascii="Calibri" w:eastAsia="Calibri" w:hAnsi="Calibri" w:cs="Calibri"/>
                        <w:noProof/>
                        <w:color w:val="737373"/>
                        <w:sz w:val="20"/>
                        <w:szCs w:val="20"/>
                      </w:rPr>
                      <w:t>Dell Customer Communication - 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34210" w14:textId="77777777" w:rsidR="00BA1862" w:rsidRDefault="00BA1862">
    <w:pPr>
      <w:pStyle w:val="Header"/>
    </w:pPr>
    <w:r>
      <w:rPr>
        <w:noProof/>
        <w14:ligatures w14:val="standardContextual"/>
      </w:rPr>
      <mc:AlternateContent>
        <mc:Choice Requires="wps">
          <w:drawing>
            <wp:anchor distT="0" distB="0" distL="0" distR="0" simplePos="0" relativeHeight="251657216" behindDoc="0" locked="0" layoutInCell="1" allowOverlap="1" wp14:anchorId="7B1A29CA" wp14:editId="35C21C0D">
              <wp:simplePos x="635" y="635"/>
              <wp:positionH relativeFrom="page">
                <wp:align>left</wp:align>
              </wp:positionH>
              <wp:positionV relativeFrom="page">
                <wp:align>top</wp:align>
              </wp:positionV>
              <wp:extent cx="443865" cy="443865"/>
              <wp:effectExtent l="0" t="0" r="13970" b="12065"/>
              <wp:wrapNone/>
              <wp:docPr id="1" name="Text Box 1" descr="Dell Customer Communication -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3D8956" w14:textId="77777777" w:rsidR="00BA1862" w:rsidRPr="00B11B1F" w:rsidRDefault="00BA1862" w:rsidP="00B11B1F">
                          <w:pPr>
                            <w:spacing w:after="0"/>
                            <w:rPr>
                              <w:rFonts w:ascii="Calibri" w:eastAsia="Calibri" w:hAnsi="Calibri" w:cs="Calibri"/>
                              <w:noProof/>
                              <w:color w:val="737373"/>
                              <w:sz w:val="20"/>
                              <w:szCs w:val="20"/>
                            </w:rPr>
                          </w:pPr>
                          <w:r w:rsidRPr="00B11B1F">
                            <w:rPr>
                              <w:rFonts w:ascii="Calibri" w:eastAsia="Calibri" w:hAnsi="Calibri" w:cs="Calibri"/>
                              <w:noProof/>
                              <w:color w:val="737373"/>
                              <w:sz w:val="20"/>
                              <w:szCs w:val="20"/>
                            </w:rPr>
                            <w:t>Dell Customer Communication - 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B1A29CA" id="_x0000_t202" coordsize="21600,21600" o:spt="202" path="m,l,21600r21600,l21600,xe">
              <v:stroke joinstyle="miter"/>
              <v:path gradientshapeok="t" o:connecttype="rect"/>
            </v:shapetype>
            <v:shape id="Text Box 1" o:spid="_x0000_s1027" type="#_x0000_t202" alt="Dell Customer Communication - Confidential" style="position:absolute;margin-left:0;margin-top:0;width:34.95pt;height:34.95pt;z-index:25165721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743D8956" w14:textId="77777777" w:rsidR="00BA1862" w:rsidRPr="00B11B1F" w:rsidRDefault="00BA1862" w:rsidP="00B11B1F">
                    <w:pPr>
                      <w:spacing w:after="0"/>
                      <w:rPr>
                        <w:rFonts w:ascii="Calibri" w:eastAsia="Calibri" w:hAnsi="Calibri" w:cs="Calibri"/>
                        <w:noProof/>
                        <w:color w:val="737373"/>
                        <w:sz w:val="20"/>
                        <w:szCs w:val="20"/>
                      </w:rPr>
                    </w:pPr>
                    <w:r w:rsidRPr="00B11B1F">
                      <w:rPr>
                        <w:rFonts w:ascii="Calibri" w:eastAsia="Calibri" w:hAnsi="Calibri" w:cs="Calibri"/>
                        <w:noProof/>
                        <w:color w:val="737373"/>
                        <w:sz w:val="20"/>
                        <w:szCs w:val="20"/>
                      </w:rPr>
                      <w:t>Dell Customer Communication - 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E6317"/>
    <w:multiLevelType w:val="hybridMultilevel"/>
    <w:tmpl w:val="5C280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09145C"/>
    <w:multiLevelType w:val="hybridMultilevel"/>
    <w:tmpl w:val="DB34126C"/>
    <w:lvl w:ilvl="0" w:tplc="D84A17B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C53BAB"/>
    <w:multiLevelType w:val="hybridMultilevel"/>
    <w:tmpl w:val="D464AE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74B13BA"/>
    <w:multiLevelType w:val="hybridMultilevel"/>
    <w:tmpl w:val="6C440F88"/>
    <w:lvl w:ilvl="0" w:tplc="D5E2EA0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8A328C1"/>
    <w:multiLevelType w:val="hybridMultilevel"/>
    <w:tmpl w:val="B7769D14"/>
    <w:lvl w:ilvl="0" w:tplc="4A1096B8">
      <w:numFmt w:val="bullet"/>
      <w:lvlText w:val="-"/>
      <w:lvlJc w:val="left"/>
      <w:pPr>
        <w:ind w:left="720" w:hanging="360"/>
      </w:pPr>
      <w:rPr>
        <w:rFonts w:ascii="Calibri" w:eastAsia="Times New Roman" w:hAnsi="Calibri" w:cs="Calibr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7A410F"/>
    <w:multiLevelType w:val="hybridMultilevel"/>
    <w:tmpl w:val="318AD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5970D2F"/>
    <w:multiLevelType w:val="hybridMultilevel"/>
    <w:tmpl w:val="2960D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num w:numId="1" w16cid:durableId="1721129084">
    <w:abstractNumId w:val="2"/>
  </w:num>
  <w:num w:numId="2" w16cid:durableId="163937512">
    <w:abstractNumId w:val="5"/>
  </w:num>
  <w:num w:numId="3" w16cid:durableId="2023824730">
    <w:abstractNumId w:val="0"/>
  </w:num>
  <w:num w:numId="4" w16cid:durableId="1996564095">
    <w:abstractNumId w:val="4"/>
  </w:num>
  <w:num w:numId="5" w16cid:durableId="1557088874">
    <w:abstractNumId w:val="7"/>
  </w:num>
  <w:num w:numId="6" w16cid:durableId="104928444">
    <w:abstractNumId w:val="6"/>
  </w:num>
  <w:num w:numId="7" w16cid:durableId="1206405871">
    <w:abstractNumId w:val="3"/>
  </w:num>
  <w:num w:numId="8" w16cid:durableId="5147303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862"/>
    <w:rsid w:val="00013434"/>
    <w:rsid w:val="000C7720"/>
    <w:rsid w:val="000E4DF6"/>
    <w:rsid w:val="001061A9"/>
    <w:rsid w:val="00164660"/>
    <w:rsid w:val="001831C3"/>
    <w:rsid w:val="00192174"/>
    <w:rsid w:val="002277BC"/>
    <w:rsid w:val="00230EB8"/>
    <w:rsid w:val="00285797"/>
    <w:rsid w:val="002A5F1C"/>
    <w:rsid w:val="002C2466"/>
    <w:rsid w:val="002D5AED"/>
    <w:rsid w:val="00303B26"/>
    <w:rsid w:val="003113DE"/>
    <w:rsid w:val="00317A62"/>
    <w:rsid w:val="0033114C"/>
    <w:rsid w:val="0037105D"/>
    <w:rsid w:val="003868E1"/>
    <w:rsid w:val="003B478F"/>
    <w:rsid w:val="00424DF0"/>
    <w:rsid w:val="00441391"/>
    <w:rsid w:val="0044328D"/>
    <w:rsid w:val="00494D06"/>
    <w:rsid w:val="004B7CF6"/>
    <w:rsid w:val="004D3125"/>
    <w:rsid w:val="00527BFA"/>
    <w:rsid w:val="005449AA"/>
    <w:rsid w:val="005721BD"/>
    <w:rsid w:val="0059629C"/>
    <w:rsid w:val="005B018E"/>
    <w:rsid w:val="005C120B"/>
    <w:rsid w:val="005D2A24"/>
    <w:rsid w:val="006761A8"/>
    <w:rsid w:val="00681E59"/>
    <w:rsid w:val="006D785C"/>
    <w:rsid w:val="00725AF2"/>
    <w:rsid w:val="007734BB"/>
    <w:rsid w:val="007C1D14"/>
    <w:rsid w:val="007C20FD"/>
    <w:rsid w:val="007E4D60"/>
    <w:rsid w:val="007E7EF4"/>
    <w:rsid w:val="00804B06"/>
    <w:rsid w:val="008C2484"/>
    <w:rsid w:val="008D0F6A"/>
    <w:rsid w:val="0091718E"/>
    <w:rsid w:val="00917232"/>
    <w:rsid w:val="009407AC"/>
    <w:rsid w:val="00960627"/>
    <w:rsid w:val="009B282B"/>
    <w:rsid w:val="009D69AB"/>
    <w:rsid w:val="009D7629"/>
    <w:rsid w:val="00A02CAA"/>
    <w:rsid w:val="00A229C7"/>
    <w:rsid w:val="00A56108"/>
    <w:rsid w:val="00AF468B"/>
    <w:rsid w:val="00B26F15"/>
    <w:rsid w:val="00B81A88"/>
    <w:rsid w:val="00BA1862"/>
    <w:rsid w:val="00BD1D9D"/>
    <w:rsid w:val="00BE093A"/>
    <w:rsid w:val="00C72767"/>
    <w:rsid w:val="00D2378B"/>
    <w:rsid w:val="00D41484"/>
    <w:rsid w:val="00DE5867"/>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1E3E8"/>
  <w15:chartTrackingRefBased/>
  <w15:docId w15:val="{E423EB92-505D-4A46-AA03-6B298F781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862"/>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uiPriority w:val="9"/>
    <w:qFormat/>
    <w:rsid w:val="00BA1862"/>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BA1862"/>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BA1862"/>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BA1862"/>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BA1862"/>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BA186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186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186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186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1862"/>
    <w:rPr>
      <w:rFonts w:asciiTheme="majorHAnsi" w:eastAsiaTheme="majorEastAsia" w:hAnsiTheme="majorHAnsi" w:cstheme="majorBidi"/>
      <w:color w:val="365F91" w:themeColor="accent1" w:themeShade="BF"/>
      <w:sz w:val="40"/>
      <w:szCs w:val="40"/>
      <w:lang w:eastAsia="en-US"/>
    </w:rPr>
  </w:style>
  <w:style w:type="character" w:customStyle="1" w:styleId="Heading2Char">
    <w:name w:val="Heading 2 Char"/>
    <w:basedOn w:val="DefaultParagraphFont"/>
    <w:link w:val="Heading2"/>
    <w:uiPriority w:val="9"/>
    <w:semiHidden/>
    <w:rsid w:val="00BA1862"/>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basedOn w:val="DefaultParagraphFont"/>
    <w:link w:val="Heading3"/>
    <w:uiPriority w:val="9"/>
    <w:semiHidden/>
    <w:rsid w:val="00BA1862"/>
    <w:rPr>
      <w:rFonts w:asciiTheme="minorHAnsi" w:eastAsiaTheme="majorEastAsia" w:hAnsiTheme="minorHAnsi" w:cstheme="majorBidi"/>
      <w:color w:val="365F91" w:themeColor="accent1" w:themeShade="BF"/>
      <w:sz w:val="28"/>
      <w:szCs w:val="28"/>
      <w:lang w:eastAsia="en-US"/>
    </w:rPr>
  </w:style>
  <w:style w:type="character" w:customStyle="1" w:styleId="Heading4Char">
    <w:name w:val="Heading 4 Char"/>
    <w:basedOn w:val="DefaultParagraphFont"/>
    <w:link w:val="Heading4"/>
    <w:uiPriority w:val="9"/>
    <w:semiHidden/>
    <w:rsid w:val="00BA1862"/>
    <w:rPr>
      <w:rFonts w:asciiTheme="minorHAnsi" w:eastAsiaTheme="majorEastAsia" w:hAnsiTheme="minorHAnsi" w:cstheme="majorBidi"/>
      <w:i/>
      <w:iCs/>
      <w:color w:val="365F91" w:themeColor="accent1" w:themeShade="BF"/>
      <w:sz w:val="24"/>
      <w:szCs w:val="24"/>
      <w:lang w:eastAsia="en-US"/>
    </w:rPr>
  </w:style>
  <w:style w:type="character" w:customStyle="1" w:styleId="Heading5Char">
    <w:name w:val="Heading 5 Char"/>
    <w:basedOn w:val="DefaultParagraphFont"/>
    <w:link w:val="Heading5"/>
    <w:uiPriority w:val="9"/>
    <w:semiHidden/>
    <w:rsid w:val="00BA1862"/>
    <w:rPr>
      <w:rFonts w:asciiTheme="minorHAnsi" w:eastAsiaTheme="majorEastAsia" w:hAnsiTheme="minorHAnsi" w:cstheme="majorBidi"/>
      <w:color w:val="365F91" w:themeColor="accent1" w:themeShade="BF"/>
      <w:sz w:val="24"/>
      <w:szCs w:val="24"/>
      <w:lang w:eastAsia="en-US"/>
    </w:rPr>
  </w:style>
  <w:style w:type="character" w:customStyle="1" w:styleId="Heading6Char">
    <w:name w:val="Heading 6 Char"/>
    <w:basedOn w:val="DefaultParagraphFont"/>
    <w:link w:val="Heading6"/>
    <w:uiPriority w:val="9"/>
    <w:semiHidden/>
    <w:rsid w:val="00BA1862"/>
    <w:rPr>
      <w:rFonts w:asciiTheme="minorHAnsi" w:eastAsiaTheme="majorEastAsia" w:hAnsiTheme="minorHAnsi" w:cstheme="majorBidi"/>
      <w:i/>
      <w:iCs/>
      <w:color w:val="595959" w:themeColor="text1" w:themeTint="A6"/>
      <w:sz w:val="24"/>
      <w:szCs w:val="24"/>
      <w:lang w:eastAsia="en-US"/>
    </w:rPr>
  </w:style>
  <w:style w:type="character" w:customStyle="1" w:styleId="Heading7Char">
    <w:name w:val="Heading 7 Char"/>
    <w:basedOn w:val="DefaultParagraphFont"/>
    <w:link w:val="Heading7"/>
    <w:uiPriority w:val="9"/>
    <w:semiHidden/>
    <w:rsid w:val="00BA1862"/>
    <w:rPr>
      <w:rFonts w:asciiTheme="minorHAnsi" w:eastAsiaTheme="majorEastAsia" w:hAnsiTheme="minorHAnsi" w:cstheme="majorBidi"/>
      <w:color w:val="595959" w:themeColor="text1" w:themeTint="A6"/>
      <w:sz w:val="24"/>
      <w:szCs w:val="24"/>
      <w:lang w:eastAsia="en-US"/>
    </w:rPr>
  </w:style>
  <w:style w:type="character" w:customStyle="1" w:styleId="Heading8Char">
    <w:name w:val="Heading 8 Char"/>
    <w:basedOn w:val="DefaultParagraphFont"/>
    <w:link w:val="Heading8"/>
    <w:uiPriority w:val="9"/>
    <w:semiHidden/>
    <w:rsid w:val="00BA1862"/>
    <w:rPr>
      <w:rFonts w:asciiTheme="minorHAnsi" w:eastAsiaTheme="majorEastAsia" w:hAnsiTheme="minorHAnsi" w:cstheme="majorBidi"/>
      <w:i/>
      <w:iCs/>
      <w:color w:val="272727" w:themeColor="text1" w:themeTint="D8"/>
      <w:sz w:val="24"/>
      <w:szCs w:val="24"/>
      <w:lang w:eastAsia="en-US"/>
    </w:rPr>
  </w:style>
  <w:style w:type="character" w:customStyle="1" w:styleId="Heading9Char">
    <w:name w:val="Heading 9 Char"/>
    <w:basedOn w:val="DefaultParagraphFont"/>
    <w:link w:val="Heading9"/>
    <w:uiPriority w:val="9"/>
    <w:semiHidden/>
    <w:rsid w:val="00BA1862"/>
    <w:rPr>
      <w:rFonts w:asciiTheme="minorHAnsi" w:eastAsiaTheme="majorEastAsia" w:hAnsiTheme="minorHAnsi" w:cstheme="majorBidi"/>
      <w:color w:val="272727" w:themeColor="text1" w:themeTint="D8"/>
      <w:sz w:val="24"/>
      <w:szCs w:val="24"/>
      <w:lang w:eastAsia="en-US"/>
    </w:rPr>
  </w:style>
  <w:style w:type="paragraph" w:styleId="Title">
    <w:name w:val="Title"/>
    <w:basedOn w:val="Normal"/>
    <w:next w:val="Normal"/>
    <w:link w:val="TitleChar"/>
    <w:uiPriority w:val="10"/>
    <w:qFormat/>
    <w:rsid w:val="00BA186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1862"/>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BA1862"/>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1862"/>
    <w:rPr>
      <w:rFonts w:asciiTheme="minorHAnsi" w:eastAsiaTheme="majorEastAsia" w:hAnsiTheme="minorHAnsi"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BA186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A1862"/>
    <w:rPr>
      <w:i/>
      <w:iCs/>
      <w:color w:val="404040" w:themeColor="text1" w:themeTint="BF"/>
      <w:sz w:val="24"/>
      <w:szCs w:val="24"/>
      <w:lang w:eastAsia="en-US"/>
    </w:rPr>
  </w:style>
  <w:style w:type="paragraph" w:styleId="ListParagraph">
    <w:name w:val="List Paragraph"/>
    <w:aliases w:val="List not in Table,ERP-List Paragraph,List Paragraph1,List Paragraph11,Numbering,List Paragraph Red,Bullet EY,List Paragraph2,Bullet,TIIS - Bullet Style (Level 1),VKTI - text numbering,Normal bullet 2,Paragraph,List L1,List Paragraph21,lp1"/>
    <w:basedOn w:val="Normal"/>
    <w:link w:val="ListParagraphChar"/>
    <w:uiPriority w:val="34"/>
    <w:qFormat/>
    <w:rsid w:val="00BA1862"/>
    <w:pPr>
      <w:ind w:left="720"/>
      <w:contextualSpacing/>
    </w:pPr>
  </w:style>
  <w:style w:type="character" w:styleId="IntenseEmphasis">
    <w:name w:val="Intense Emphasis"/>
    <w:basedOn w:val="DefaultParagraphFont"/>
    <w:uiPriority w:val="21"/>
    <w:qFormat/>
    <w:rsid w:val="00BA1862"/>
    <w:rPr>
      <w:i/>
      <w:iCs/>
      <w:color w:val="365F91" w:themeColor="accent1" w:themeShade="BF"/>
    </w:rPr>
  </w:style>
  <w:style w:type="paragraph" w:styleId="IntenseQuote">
    <w:name w:val="Intense Quote"/>
    <w:basedOn w:val="Normal"/>
    <w:next w:val="Normal"/>
    <w:link w:val="IntenseQuoteChar"/>
    <w:uiPriority w:val="30"/>
    <w:qFormat/>
    <w:rsid w:val="00BA186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BA1862"/>
    <w:rPr>
      <w:i/>
      <w:iCs/>
      <w:color w:val="365F91" w:themeColor="accent1" w:themeShade="BF"/>
      <w:sz w:val="24"/>
      <w:szCs w:val="24"/>
      <w:lang w:eastAsia="en-US"/>
    </w:rPr>
  </w:style>
  <w:style w:type="character" w:styleId="IntenseReference">
    <w:name w:val="Intense Reference"/>
    <w:basedOn w:val="DefaultParagraphFont"/>
    <w:uiPriority w:val="32"/>
    <w:qFormat/>
    <w:rsid w:val="00BA1862"/>
    <w:rPr>
      <w:b/>
      <w:bCs/>
      <w:smallCaps/>
      <w:color w:val="365F91" w:themeColor="accent1" w:themeShade="BF"/>
      <w:spacing w:val="5"/>
    </w:rPr>
  </w:style>
  <w:style w:type="character" w:customStyle="1" w:styleId="ListParagraphChar">
    <w:name w:val="List Paragraph Char"/>
    <w:aliases w:val="List not in Table Char,ERP-List Paragraph Char,List Paragraph1 Char,List Paragraph11 Char,Numbering Char,List Paragraph Red Char,Bullet EY Char,List Paragraph2 Char,Bullet Char,TIIS - Bullet Style (Level 1) Char,Normal bullet 2 Char"/>
    <w:basedOn w:val="DefaultParagraphFont"/>
    <w:link w:val="ListParagraph"/>
    <w:uiPriority w:val="34"/>
    <w:qFormat/>
    <w:locked/>
    <w:rsid w:val="00BA1862"/>
    <w:rPr>
      <w:sz w:val="24"/>
      <w:szCs w:val="24"/>
      <w:lang w:eastAsia="en-US"/>
    </w:rPr>
  </w:style>
  <w:style w:type="paragraph" w:customStyle="1" w:styleId="Numeracija">
    <w:name w:val="_Numeracija"/>
    <w:basedOn w:val="Normal"/>
    <w:link w:val="NumeracijaChar"/>
    <w:qFormat/>
    <w:rsid w:val="00BA1862"/>
    <w:pPr>
      <w:numPr>
        <w:numId w:val="5"/>
      </w:numPr>
      <w:spacing w:before="60" w:after="60"/>
      <w:jc w:val="both"/>
    </w:pPr>
    <w:rPr>
      <w:rFonts w:ascii="Times New Roman" w:eastAsia="Times New Roman" w:hAnsi="Times New Roman" w:cs="Times New Roman"/>
      <w:color w:val="000000"/>
      <w:lang w:eastAsia="lt-LT"/>
    </w:rPr>
  </w:style>
  <w:style w:type="character" w:customStyle="1" w:styleId="NumeracijaChar">
    <w:name w:val="_Numeracija Char"/>
    <w:link w:val="Numeracija"/>
    <w:rsid w:val="00BA1862"/>
    <w:rPr>
      <w:color w:val="000000"/>
      <w:sz w:val="22"/>
      <w:szCs w:val="22"/>
    </w:rPr>
  </w:style>
  <w:style w:type="paragraph" w:styleId="Header">
    <w:name w:val="header"/>
    <w:basedOn w:val="Normal"/>
    <w:link w:val="HeaderChar"/>
    <w:uiPriority w:val="99"/>
    <w:unhideWhenUsed/>
    <w:rsid w:val="00BA18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186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69B611-CEC7-4717-9903-27AC42E7E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5A568A-2993-44C9-956B-D1C9600EA8A6}">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0C7D0E93-9298-43DF-84AD-C4AD3BD23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2443</Words>
  <Characters>16932</Characters>
  <Application>Microsoft Office Word</Application>
  <DocSecurity>0</DocSecurity>
  <Lines>604</Lines>
  <Paragraphs>222</Paragraphs>
  <ScaleCrop>false</ScaleCrop>
  <Company/>
  <LinksUpToDate>false</LinksUpToDate>
  <CharactersWithSpaces>19153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Priedas nr1</dc:title>
  <dc:subject/>
  <dc:creator>Vidmantas Arimavičius</dc:creator>
  <cp:keywords/>
  <dc:description/>
  <cp:lastModifiedBy>Vidmantas Arimavičius</cp:lastModifiedBy>
  <cp:revision>3</cp:revision>
  <dcterms:created xsi:type="dcterms:W3CDTF">2025-12-09T21:57:00Z</dcterms:created>
  <dcterms:modified xsi:type="dcterms:W3CDTF">2025-12-15T20:12:00Z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